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65" w:rsidRPr="006C5648" w:rsidRDefault="009A3EA3" w:rsidP="00BF2165">
      <w:pPr>
        <w:jc w:val="center"/>
        <w:rPr>
          <w:rFonts w:ascii="Arial" w:hAnsi="Arial" w:cs="Arial"/>
          <w:b/>
          <w:sz w:val="20"/>
          <w:szCs w:val="20"/>
        </w:rPr>
      </w:pPr>
      <w:r>
        <w:rPr>
          <w:rFonts w:ascii="Arial" w:hAnsi="Arial" w:cs="Arial"/>
          <w:b/>
          <w:sz w:val="20"/>
          <w:szCs w:val="20"/>
        </w:rPr>
        <w:t>Certified Banking Compliance Professional</w:t>
      </w:r>
    </w:p>
    <w:p w:rsidR="00BF2165" w:rsidRPr="006C5648" w:rsidRDefault="00BF2165" w:rsidP="00BF2165">
      <w:pPr>
        <w:jc w:val="center"/>
        <w:rPr>
          <w:rFonts w:ascii="Arial" w:hAnsi="Arial" w:cs="Arial"/>
          <w:sz w:val="20"/>
          <w:szCs w:val="20"/>
        </w:rPr>
      </w:pPr>
    </w:p>
    <w:tbl>
      <w:tblPr>
        <w:tblStyle w:val="TableGrid"/>
        <w:tblW w:w="0" w:type="auto"/>
        <w:tblInd w:w="0" w:type="dxa"/>
        <w:tblLook w:val="04A0" w:firstRow="1" w:lastRow="0" w:firstColumn="1" w:lastColumn="0" w:noHBand="0" w:noVBand="1"/>
      </w:tblPr>
      <w:tblGrid>
        <w:gridCol w:w="846"/>
        <w:gridCol w:w="8170"/>
      </w:tblGrid>
      <w:tr w:rsidR="00BF2165" w:rsidRPr="006C5648" w:rsidTr="00BF2165">
        <w:tc>
          <w:tcPr>
            <w:tcW w:w="846"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proofErr w:type="spellStart"/>
            <w:r w:rsidRPr="006C5648">
              <w:rPr>
                <w:rFonts w:ascii="Arial" w:hAnsi="Arial" w:cs="Arial"/>
                <w:b/>
                <w:sz w:val="20"/>
                <w:szCs w:val="20"/>
              </w:rPr>
              <w:t>S.No</w:t>
            </w:r>
            <w:proofErr w:type="spellEnd"/>
            <w:r w:rsidRPr="006C5648">
              <w:rPr>
                <w:rFonts w:ascii="Arial" w:hAnsi="Arial" w:cs="Arial"/>
                <w:b/>
                <w:sz w:val="20"/>
                <w:szCs w:val="20"/>
              </w:rPr>
              <w:t>.</w:t>
            </w:r>
          </w:p>
        </w:tc>
        <w:tc>
          <w:tcPr>
            <w:tcW w:w="8170"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r w:rsidRPr="006C5648">
              <w:rPr>
                <w:rFonts w:ascii="Arial" w:hAnsi="Arial" w:cs="Arial"/>
                <w:b/>
                <w:sz w:val="20"/>
                <w:szCs w:val="20"/>
              </w:rPr>
              <w:t>RBI Notification</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BF2165"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Note Sorting Machines - Authentication and Fitness Sorting Parameters</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6C5648"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Master Direction on Interest Rate on Deposits - Foreign Currency (Non-resident) Accounts (Banks) Scheme [FCNR(B)] and Non-Resident (External) Rupee (NRE) Deposit</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BF2165"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Section 42 of the Reserve Bank of India Act, 1934 and Section 18 and 24 of the Banking Regulation Act, 1949 – FCNR (B)/NRE Term deposits - Exemption from maintenance of CRR/SLR</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BF2165"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Investment by Foreign Portfolio Investors (FPI) in Debt – Relaxations</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BF2165"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Board approved Loan Policy – Management of Advances – UCBs</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BF2165"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Foreign Exchange Management (Borrowing and Lending) (Amendment) Regulations, 2022</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BF2165"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Master Circular - Credit facilities to Scheduled Castes (SCs) &amp; Scheduled Tribes (STs)</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BF2165"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External Commercial Borrowings (ECB) Policy – Liberalisation Measures</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Master Circular on Credit Facilities to Minority Communities</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Gold Monetization Scheme (GMS), 2015</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Outsourcing of Financial Services - Responsibilities of regulated entities employing Recovery Agents</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Foreign Exchange Management (Overseas Investment) Regulations, 2022</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Foreign Exchange Management (Overseas Investment) Directions, 2022</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Guidelines on Digital Lending</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Incentive for improving service to non-chest branches</w:t>
            </w:r>
          </w:p>
        </w:tc>
      </w:tr>
      <w:tr w:rsidR="00066AD4" w:rsidRPr="006C5648" w:rsidTr="00BF2165">
        <w:tc>
          <w:tcPr>
            <w:tcW w:w="846" w:type="dxa"/>
            <w:tcBorders>
              <w:top w:val="single" w:sz="4" w:space="0" w:color="auto"/>
              <w:left w:val="single" w:sz="4" w:space="0" w:color="auto"/>
              <w:bottom w:val="single" w:sz="4" w:space="0" w:color="auto"/>
              <w:right w:val="single" w:sz="4" w:space="0" w:color="auto"/>
            </w:tcBorders>
          </w:tcPr>
          <w:p w:rsidR="00066AD4" w:rsidRPr="006C5648" w:rsidRDefault="00066AD4"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066AD4"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Review of Prudential Norms – Risk Weights for Exposures guaranteed by Credit Guarantee Schemes (CGS)</w:t>
            </w:r>
          </w:p>
        </w:tc>
      </w:tr>
      <w:tr w:rsidR="00066AD4" w:rsidRPr="006C5648" w:rsidTr="00BF2165">
        <w:tc>
          <w:tcPr>
            <w:tcW w:w="846" w:type="dxa"/>
            <w:tcBorders>
              <w:top w:val="single" w:sz="4" w:space="0" w:color="auto"/>
              <w:left w:val="single" w:sz="4" w:space="0" w:color="auto"/>
              <w:bottom w:val="single" w:sz="4" w:space="0" w:color="auto"/>
              <w:right w:val="single" w:sz="4" w:space="0" w:color="auto"/>
            </w:tcBorders>
          </w:tcPr>
          <w:p w:rsidR="00066AD4" w:rsidRPr="006C5648" w:rsidRDefault="00066AD4"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066AD4"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Compliance Function and Role of Chief Compliance Officer (CCO)- Urban Co-operative Banks</w:t>
            </w:r>
          </w:p>
        </w:tc>
      </w:tr>
      <w:tr w:rsidR="00066AD4" w:rsidRPr="006C5648" w:rsidTr="00BF2165">
        <w:tc>
          <w:tcPr>
            <w:tcW w:w="846" w:type="dxa"/>
            <w:tcBorders>
              <w:top w:val="single" w:sz="4" w:space="0" w:color="auto"/>
              <w:left w:val="single" w:sz="4" w:space="0" w:color="auto"/>
              <w:bottom w:val="single" w:sz="4" w:space="0" w:color="auto"/>
              <w:right w:val="single" w:sz="4" w:space="0" w:color="auto"/>
            </w:tcBorders>
          </w:tcPr>
          <w:p w:rsidR="00066AD4" w:rsidRPr="006C5648" w:rsidRDefault="00066AD4"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066AD4"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Late Submission Fee for reporting delays under Foreign Exchange Management Act, 1999 (FEMA)</w:t>
            </w:r>
          </w:p>
        </w:tc>
      </w:tr>
      <w:tr w:rsidR="00066AD4" w:rsidRPr="006C5648" w:rsidTr="00BF2165">
        <w:tc>
          <w:tcPr>
            <w:tcW w:w="846" w:type="dxa"/>
            <w:tcBorders>
              <w:top w:val="single" w:sz="4" w:space="0" w:color="auto"/>
              <w:left w:val="single" w:sz="4" w:space="0" w:color="auto"/>
              <w:bottom w:val="single" w:sz="4" w:space="0" w:color="auto"/>
              <w:right w:val="single" w:sz="4" w:space="0" w:color="auto"/>
            </w:tcBorders>
          </w:tcPr>
          <w:p w:rsidR="00066AD4" w:rsidRPr="006C5648" w:rsidRDefault="00066AD4"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066AD4"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Appointment of Internal Ombudsman by the Credit Information Companies</w:t>
            </w:r>
          </w:p>
        </w:tc>
      </w:tr>
      <w:tr w:rsidR="00066AD4" w:rsidRPr="006C5648" w:rsidTr="00BF2165">
        <w:tc>
          <w:tcPr>
            <w:tcW w:w="846" w:type="dxa"/>
            <w:tcBorders>
              <w:top w:val="single" w:sz="4" w:space="0" w:color="auto"/>
              <w:left w:val="single" w:sz="4" w:space="0" w:color="auto"/>
              <w:bottom w:val="single" w:sz="4" w:space="0" w:color="auto"/>
              <w:right w:val="single" w:sz="4" w:space="0" w:color="auto"/>
            </w:tcBorders>
          </w:tcPr>
          <w:p w:rsidR="00066AD4" w:rsidRPr="006C5648" w:rsidRDefault="00066AD4"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066AD4"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Review of Prudential Norms – Risk Weights for Exposures to Corporates and NBFCs</w:t>
            </w:r>
          </w:p>
        </w:tc>
      </w:tr>
      <w:tr w:rsidR="00066AD4" w:rsidRPr="006C5648" w:rsidTr="00BF2165">
        <w:tc>
          <w:tcPr>
            <w:tcW w:w="846" w:type="dxa"/>
            <w:tcBorders>
              <w:top w:val="single" w:sz="4" w:space="0" w:color="auto"/>
              <w:left w:val="single" w:sz="4" w:space="0" w:color="auto"/>
              <w:bottom w:val="single" w:sz="4" w:space="0" w:color="auto"/>
              <w:right w:val="single" w:sz="4" w:space="0" w:color="auto"/>
            </w:tcBorders>
          </w:tcPr>
          <w:p w:rsidR="00066AD4" w:rsidRPr="006C5648" w:rsidRDefault="00066AD4"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066AD4"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Review of Regulatory Framework for Asset Reconstruction Companies (ARCs)</w:t>
            </w:r>
          </w:p>
        </w:tc>
      </w:tr>
      <w:tr w:rsidR="009A3EA3" w:rsidRPr="006C5648" w:rsidTr="00BF2165">
        <w:tc>
          <w:tcPr>
            <w:tcW w:w="846" w:type="dxa"/>
            <w:tcBorders>
              <w:top w:val="single" w:sz="4" w:space="0" w:color="auto"/>
              <w:left w:val="single" w:sz="4" w:space="0" w:color="auto"/>
              <w:bottom w:val="single" w:sz="4" w:space="0" w:color="auto"/>
              <w:right w:val="single" w:sz="4" w:space="0" w:color="auto"/>
            </w:tcBorders>
          </w:tcPr>
          <w:p w:rsidR="009A3EA3" w:rsidRPr="006C5648" w:rsidRDefault="009A3EA3"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9A3EA3"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Reserve Bank of India (Financial Statements - Presentation and Disclosures) Directions, 2021 - Disclosure of Divergence in Asset Classification and Provisioning</w:t>
            </w:r>
          </w:p>
        </w:tc>
      </w:tr>
      <w:tr w:rsidR="009A3EA3" w:rsidRPr="006C5648" w:rsidTr="00BF2165">
        <w:tc>
          <w:tcPr>
            <w:tcW w:w="846" w:type="dxa"/>
            <w:tcBorders>
              <w:top w:val="single" w:sz="4" w:space="0" w:color="auto"/>
              <w:left w:val="single" w:sz="4" w:space="0" w:color="auto"/>
              <w:bottom w:val="single" w:sz="4" w:space="0" w:color="auto"/>
              <w:right w:val="single" w:sz="4" w:space="0" w:color="auto"/>
            </w:tcBorders>
          </w:tcPr>
          <w:p w:rsidR="009A3EA3" w:rsidRPr="006C5648" w:rsidRDefault="009A3EA3"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9A3EA3"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Claims Received from the National Credit Guarantee Trustee Company Ltd (NCGTC) - Classification for the Purpose of Maintenance of Cash Reserve Ratio (CRR)/Statutory Liquidity Ratio (SLR)</w:t>
            </w:r>
          </w:p>
        </w:tc>
      </w:tr>
      <w:tr w:rsidR="009A3EA3" w:rsidRPr="006C5648" w:rsidTr="00BF2165">
        <w:tc>
          <w:tcPr>
            <w:tcW w:w="846" w:type="dxa"/>
            <w:tcBorders>
              <w:top w:val="single" w:sz="4" w:space="0" w:color="auto"/>
              <w:left w:val="single" w:sz="4" w:space="0" w:color="auto"/>
              <w:bottom w:val="single" w:sz="4" w:space="0" w:color="auto"/>
              <w:right w:val="single" w:sz="4" w:space="0" w:color="auto"/>
            </w:tcBorders>
          </w:tcPr>
          <w:p w:rsidR="009A3EA3" w:rsidRPr="006C5648" w:rsidRDefault="009A3EA3"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9A3EA3"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Agency Commission for Direct Tax collection under TIN 2.0 regime</w:t>
            </w:r>
          </w:p>
        </w:tc>
      </w:tr>
      <w:tr w:rsidR="009A3EA3" w:rsidRPr="006C5648" w:rsidTr="00BF2165">
        <w:tc>
          <w:tcPr>
            <w:tcW w:w="846" w:type="dxa"/>
            <w:tcBorders>
              <w:top w:val="single" w:sz="4" w:space="0" w:color="auto"/>
              <w:left w:val="single" w:sz="4" w:space="0" w:color="auto"/>
              <w:bottom w:val="single" w:sz="4" w:space="0" w:color="auto"/>
              <w:right w:val="single" w:sz="4" w:space="0" w:color="auto"/>
            </w:tcBorders>
          </w:tcPr>
          <w:p w:rsidR="009A3EA3" w:rsidRPr="006C5648" w:rsidRDefault="009A3EA3"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9A3EA3"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 xml:space="preserve">Modified Interest Subvention Scheme for Short Term Loans for Agriculture and Allied Activities availed through </w:t>
            </w:r>
            <w:proofErr w:type="spellStart"/>
            <w:r>
              <w:rPr>
                <w:rFonts w:ascii="Calibri" w:hAnsi="Calibri" w:cs="Calibri"/>
                <w:color w:val="000000"/>
                <w:sz w:val="20"/>
                <w:szCs w:val="20"/>
              </w:rPr>
              <w:t>Kisan</w:t>
            </w:r>
            <w:proofErr w:type="spellEnd"/>
            <w:r>
              <w:rPr>
                <w:rFonts w:ascii="Calibri" w:hAnsi="Calibri" w:cs="Calibri"/>
                <w:color w:val="000000"/>
                <w:sz w:val="20"/>
                <w:szCs w:val="20"/>
              </w:rPr>
              <w:t xml:space="preserve"> Credit Card (KCC) during the financial years 2022-23 and 2023-24</w:t>
            </w:r>
          </w:p>
        </w:tc>
      </w:tr>
      <w:tr w:rsidR="009A3EA3" w:rsidRPr="006C5648" w:rsidTr="00BF2165">
        <w:tc>
          <w:tcPr>
            <w:tcW w:w="846" w:type="dxa"/>
            <w:tcBorders>
              <w:top w:val="single" w:sz="4" w:space="0" w:color="auto"/>
              <w:left w:val="single" w:sz="4" w:space="0" w:color="auto"/>
              <w:bottom w:val="single" w:sz="4" w:space="0" w:color="auto"/>
              <w:right w:val="single" w:sz="4" w:space="0" w:color="auto"/>
            </w:tcBorders>
          </w:tcPr>
          <w:p w:rsidR="009A3EA3" w:rsidRPr="006C5648" w:rsidRDefault="009A3EA3"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9A3EA3"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Inclusion of Goods and Service Tax Network (GSTN) as a Financial Information Provider under Account Aggregator Framework</w:t>
            </w:r>
          </w:p>
        </w:tc>
      </w:tr>
      <w:tr w:rsidR="009A3EA3" w:rsidRPr="006C5648" w:rsidTr="00BF2165">
        <w:tc>
          <w:tcPr>
            <w:tcW w:w="846" w:type="dxa"/>
            <w:tcBorders>
              <w:top w:val="single" w:sz="4" w:space="0" w:color="auto"/>
              <w:left w:val="single" w:sz="4" w:space="0" w:color="auto"/>
              <w:bottom w:val="single" w:sz="4" w:space="0" w:color="auto"/>
              <w:right w:val="single" w:sz="4" w:space="0" w:color="auto"/>
            </w:tcBorders>
          </w:tcPr>
          <w:p w:rsidR="009A3EA3" w:rsidRPr="006C5648" w:rsidRDefault="009A3EA3"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9A3EA3"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 xml:space="preserve">Operations of subsidiaries and branches of Indian banks and All India Financial Institutions (AIFIs) in foreign jurisdictions and in International Financial Services </w:t>
            </w:r>
            <w:proofErr w:type="spellStart"/>
            <w:r>
              <w:rPr>
                <w:rFonts w:ascii="Calibri" w:hAnsi="Calibri" w:cs="Calibri"/>
                <w:color w:val="000000"/>
                <w:sz w:val="20"/>
                <w:szCs w:val="20"/>
              </w:rPr>
              <w:t>Centers</w:t>
            </w:r>
            <w:proofErr w:type="spellEnd"/>
            <w:r>
              <w:rPr>
                <w:rFonts w:ascii="Calibri" w:hAnsi="Calibri" w:cs="Calibri"/>
                <w:color w:val="000000"/>
                <w:sz w:val="20"/>
                <w:szCs w:val="20"/>
              </w:rPr>
              <w:t xml:space="preserve"> (IFSCs) - Compliance with statutory/regulatory norms</w:t>
            </w:r>
          </w:p>
        </w:tc>
      </w:tr>
      <w:tr w:rsidR="009A3EA3" w:rsidRPr="006C5648" w:rsidTr="00BF2165">
        <w:tc>
          <w:tcPr>
            <w:tcW w:w="846" w:type="dxa"/>
            <w:tcBorders>
              <w:top w:val="single" w:sz="4" w:space="0" w:color="auto"/>
              <w:left w:val="single" w:sz="4" w:space="0" w:color="auto"/>
              <w:bottom w:val="single" w:sz="4" w:space="0" w:color="auto"/>
              <w:right w:val="single" w:sz="4" w:space="0" w:color="auto"/>
            </w:tcBorders>
          </w:tcPr>
          <w:p w:rsidR="009A3EA3" w:rsidRPr="006C5648" w:rsidRDefault="009A3EA3"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9A3EA3"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Revised Regulatory Framework for Urban Co-operative Banks (UCBs) – Net Worth and Capital Adequacy</w:t>
            </w:r>
          </w:p>
        </w:tc>
      </w:tr>
      <w:tr w:rsidR="009A3EA3" w:rsidRPr="006C5648" w:rsidTr="00BF2165">
        <w:tc>
          <w:tcPr>
            <w:tcW w:w="846" w:type="dxa"/>
            <w:tcBorders>
              <w:top w:val="single" w:sz="4" w:space="0" w:color="auto"/>
              <w:left w:val="single" w:sz="4" w:space="0" w:color="auto"/>
              <w:bottom w:val="single" w:sz="4" w:space="0" w:color="auto"/>
              <w:right w:val="single" w:sz="4" w:space="0" w:color="auto"/>
            </w:tcBorders>
          </w:tcPr>
          <w:p w:rsidR="009A3EA3" w:rsidRPr="006C5648" w:rsidRDefault="009A3EA3"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9A3EA3"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Review of SLR holdings in HTM category</w:t>
            </w:r>
          </w:p>
        </w:tc>
      </w:tr>
      <w:tr w:rsidR="009A3EA3" w:rsidRPr="006C5648" w:rsidTr="00BF2165">
        <w:tc>
          <w:tcPr>
            <w:tcW w:w="846" w:type="dxa"/>
            <w:tcBorders>
              <w:top w:val="single" w:sz="4" w:space="0" w:color="auto"/>
              <w:left w:val="single" w:sz="4" w:space="0" w:color="auto"/>
              <w:bottom w:val="single" w:sz="4" w:space="0" w:color="auto"/>
              <w:right w:val="single" w:sz="4" w:space="0" w:color="auto"/>
            </w:tcBorders>
          </w:tcPr>
          <w:p w:rsidR="009A3EA3" w:rsidRPr="006C5648" w:rsidRDefault="009A3EA3"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9A3EA3"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Data Format for Furnishing of Credit Information to Credit Information Companies and other Regulatory Measures</w:t>
            </w:r>
          </w:p>
        </w:tc>
      </w:tr>
      <w:tr w:rsidR="00C10ACA" w:rsidRPr="006C5648" w:rsidTr="00BF2165">
        <w:tc>
          <w:tcPr>
            <w:tcW w:w="846" w:type="dxa"/>
            <w:tcBorders>
              <w:top w:val="single" w:sz="4" w:space="0" w:color="auto"/>
              <w:left w:val="single" w:sz="4" w:space="0" w:color="auto"/>
              <w:bottom w:val="single" w:sz="4" w:space="0" w:color="auto"/>
              <w:right w:val="single" w:sz="4" w:space="0" w:color="auto"/>
            </w:tcBorders>
          </w:tcPr>
          <w:p w:rsidR="00C10ACA" w:rsidRPr="006C5648" w:rsidRDefault="00C10ACA"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C10ACA"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Reserve Bank of India (Financial Statements - Presentation and Disclosures) Directions, 2021 - Disclosure of material items</w:t>
            </w:r>
          </w:p>
        </w:tc>
      </w:tr>
      <w:tr w:rsidR="00C10ACA" w:rsidRPr="006C5648" w:rsidTr="00BF2165">
        <w:tc>
          <w:tcPr>
            <w:tcW w:w="846" w:type="dxa"/>
            <w:tcBorders>
              <w:top w:val="single" w:sz="4" w:space="0" w:color="auto"/>
              <w:left w:val="single" w:sz="4" w:space="0" w:color="auto"/>
              <w:bottom w:val="single" w:sz="4" w:space="0" w:color="auto"/>
              <w:right w:val="single" w:sz="4" w:space="0" w:color="auto"/>
            </w:tcBorders>
          </w:tcPr>
          <w:p w:rsidR="00C10ACA" w:rsidRPr="006C5648" w:rsidRDefault="00C10ACA"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C10ACA"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Central Payments Fraud Information Registry – Migration of Reporting to DAKSH</w:t>
            </w:r>
          </w:p>
        </w:tc>
      </w:tr>
    </w:tbl>
    <w:p w:rsidR="00744532" w:rsidRDefault="00744532">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355D74" w:rsidRDefault="00355D74" w:rsidP="00355D74">
      <w:pPr>
        <w:spacing w:line="259" w:lineRule="auto"/>
        <w:rPr>
          <w:rFonts w:ascii="Arial" w:hAnsi="Arial" w:cs="Arial"/>
          <w:b/>
          <w:bCs/>
          <w:color w:val="000000"/>
          <w:sz w:val="20"/>
          <w:szCs w:val="20"/>
        </w:rPr>
      </w:pPr>
      <w:r>
        <w:rPr>
          <w:rFonts w:ascii="Arial" w:hAnsi="Arial" w:cs="Arial"/>
          <w:b/>
          <w:bCs/>
          <w:color w:val="000000"/>
          <w:sz w:val="20"/>
          <w:szCs w:val="20"/>
        </w:rPr>
        <w:lastRenderedPageBreak/>
        <w:t>Note Sorting Machines - Authentication and Fitness Sorting Parameters</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RBI/2022-23/79</w:t>
      </w:r>
      <w:r>
        <w:rPr>
          <w:rFonts w:ascii="Arial" w:hAnsi="Arial" w:cs="Arial"/>
          <w:color w:val="000000"/>
          <w:sz w:val="20"/>
          <w:szCs w:val="20"/>
        </w:rPr>
        <w:br/>
        <w:t>DCM(NPD)No.S488/18.00.14/2022-23</w:t>
      </w:r>
    </w:p>
    <w:p w:rsidR="00355D74" w:rsidRDefault="00355D74" w:rsidP="00355D74">
      <w:pPr>
        <w:pStyle w:val="NormalWeb"/>
        <w:jc w:val="right"/>
        <w:rPr>
          <w:rFonts w:ascii="Arial" w:hAnsi="Arial" w:cs="Arial"/>
          <w:color w:val="000000"/>
          <w:sz w:val="20"/>
          <w:szCs w:val="20"/>
        </w:rPr>
      </w:pPr>
      <w:r>
        <w:rPr>
          <w:rFonts w:ascii="Arial" w:hAnsi="Arial" w:cs="Arial"/>
          <w:color w:val="000000"/>
          <w:sz w:val="20"/>
          <w:szCs w:val="20"/>
        </w:rPr>
        <w:t>July 1, 2022</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The Chairman/ Managing Director/ Chief Executive Officers</w:t>
      </w:r>
      <w:r>
        <w:rPr>
          <w:rFonts w:ascii="Arial" w:hAnsi="Arial" w:cs="Arial"/>
          <w:color w:val="000000"/>
          <w:sz w:val="20"/>
          <w:szCs w:val="20"/>
        </w:rPr>
        <w:br/>
        <w:t>All Banks</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Dear Sir/Madam</w:t>
      </w:r>
    </w:p>
    <w:p w:rsidR="00355D74" w:rsidRDefault="00355D74" w:rsidP="00355D74">
      <w:pPr>
        <w:pStyle w:val="head"/>
        <w:rPr>
          <w:rFonts w:ascii="Arial" w:hAnsi="Arial" w:cs="Arial"/>
          <w:b/>
          <w:bCs/>
          <w:color w:val="000000"/>
          <w:sz w:val="20"/>
          <w:szCs w:val="20"/>
        </w:rPr>
      </w:pPr>
      <w:r>
        <w:rPr>
          <w:rFonts w:ascii="Arial" w:hAnsi="Arial" w:cs="Arial"/>
          <w:b/>
          <w:bCs/>
          <w:color w:val="000000"/>
          <w:sz w:val="20"/>
          <w:szCs w:val="20"/>
        </w:rPr>
        <w:t>Note Sorting Machines - Authentication and Fitness Sorting Parameters</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Please refer to our </w:t>
      </w:r>
      <w:hyperlink r:id="rId6" w:tgtFrame="_blank" w:history="1">
        <w:r>
          <w:rPr>
            <w:rStyle w:val="Hyperlink"/>
            <w:rFonts w:ascii="Arial" w:hAnsi="Arial" w:cs="Arial"/>
            <w:sz w:val="20"/>
            <w:szCs w:val="20"/>
          </w:rPr>
          <w:t>circular DCM(R&amp;D)No.G-26/18.00.14/2009-10 dated May 11, 2010</w:t>
        </w:r>
      </w:hyperlink>
      <w:r>
        <w:rPr>
          <w:rFonts w:ascii="Arial" w:hAnsi="Arial" w:cs="Arial"/>
          <w:color w:val="000000"/>
          <w:sz w:val="20"/>
          <w:szCs w:val="20"/>
        </w:rPr>
        <w:t> setting out ''Note Authentication and Fitness Sorting Parameters'' for the Note Sorting Machines installed in the banks.</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2. In the backdrop of introduction of the new series banknotes, these parameters have been reviewed and a revised set of guidelines are </w:t>
      </w:r>
      <w:hyperlink r:id="rId7" w:anchor="GL" w:history="1">
        <w:r>
          <w:rPr>
            <w:rStyle w:val="Hyperlink"/>
            <w:rFonts w:ascii="Arial" w:hAnsi="Arial" w:cs="Arial"/>
            <w:sz w:val="20"/>
            <w:szCs w:val="20"/>
          </w:rPr>
          <w:t>enclosed</w:t>
        </w:r>
      </w:hyperlink>
      <w:r>
        <w:rPr>
          <w:rFonts w:ascii="Arial" w:hAnsi="Arial" w:cs="Arial"/>
          <w:color w:val="000000"/>
          <w:sz w:val="20"/>
          <w:szCs w:val="20"/>
        </w:rPr>
        <w:t> for implementation.</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3. The guidelines shall be implemented with immediate effect.</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Yours faithfully</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(Sanjeev Prakash)</w:t>
      </w:r>
      <w:r>
        <w:rPr>
          <w:rFonts w:ascii="Arial" w:hAnsi="Arial" w:cs="Arial"/>
          <w:color w:val="000000"/>
          <w:sz w:val="20"/>
          <w:szCs w:val="20"/>
        </w:rPr>
        <w:br/>
        <w:t>Chief General Manager</w:t>
      </w:r>
    </w:p>
    <w:p w:rsidR="00355D74" w:rsidRDefault="00355D74" w:rsidP="00355D74">
      <w:pPr>
        <w:spacing w:line="259" w:lineRule="auto"/>
        <w:rPr>
          <w:rFonts w:ascii="Arial" w:hAnsi="Arial" w:cs="Arial"/>
          <w:sz w:val="20"/>
          <w:szCs w:val="20"/>
        </w:rPr>
      </w:pPr>
    </w:p>
    <w:p w:rsidR="00355D74" w:rsidRDefault="00355D74" w:rsidP="00355D74">
      <w:pPr>
        <w:spacing w:line="259" w:lineRule="auto"/>
        <w:rPr>
          <w:rFonts w:ascii="Arial" w:hAnsi="Arial" w:cs="Arial"/>
          <w:sz w:val="20"/>
          <w:szCs w:val="20"/>
        </w:rPr>
      </w:pPr>
    </w:p>
    <w:p w:rsidR="00355D74" w:rsidRDefault="00355D74" w:rsidP="00355D74">
      <w:pPr>
        <w:spacing w:line="259" w:lineRule="auto"/>
        <w:rPr>
          <w:rFonts w:ascii="Arial" w:hAnsi="Arial" w:cs="Arial"/>
          <w:sz w:val="20"/>
          <w:szCs w:val="20"/>
        </w:rPr>
      </w:pPr>
    </w:p>
    <w:p w:rsidR="00355D74" w:rsidRDefault="00355D74" w:rsidP="00355D74">
      <w:r>
        <w:t>More details can be referred to in the below link.</w:t>
      </w:r>
    </w:p>
    <w:p w:rsidR="00355D74" w:rsidRDefault="00355D74" w:rsidP="00355D74">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8" w:history="1">
        <w:r w:rsidRPr="006865D6">
          <w:rPr>
            <w:rStyle w:val="Hyperlink"/>
            <w:rFonts w:ascii="Arial" w:hAnsi="Arial" w:cs="Arial"/>
            <w:bCs/>
            <w:sz w:val="20"/>
            <w:szCs w:val="20"/>
          </w:rPr>
          <w:t>https://www.rbi.org.in/Scripts/NotificationUser.aspx?Id=12347&amp;Mode=0</w:t>
        </w:r>
      </w:hyperlink>
    </w:p>
    <w:p w:rsidR="00355D74" w:rsidRDefault="00355D74" w:rsidP="00355D74">
      <w:pPr>
        <w:spacing w:line="259" w:lineRule="auto"/>
        <w:rPr>
          <w:rFonts w:ascii="Arial" w:hAnsi="Arial" w:cs="Arial"/>
          <w:bCs/>
          <w:color w:val="000000"/>
          <w:sz w:val="20"/>
          <w:szCs w:val="20"/>
        </w:rPr>
      </w:pPr>
    </w:p>
    <w:p w:rsidR="00355D74" w:rsidRDefault="00355D74" w:rsidP="00355D74">
      <w:pPr>
        <w:spacing w:line="259" w:lineRule="auto"/>
        <w:rPr>
          <w:rFonts w:ascii="Arial" w:hAnsi="Arial" w:cs="Arial"/>
          <w:bCs/>
          <w:color w:val="000000"/>
          <w:sz w:val="20"/>
          <w:szCs w:val="20"/>
        </w:rPr>
      </w:pPr>
    </w:p>
    <w:p w:rsidR="00355D74" w:rsidRDefault="00355D74" w:rsidP="00355D74">
      <w:pPr>
        <w:spacing w:line="259" w:lineRule="auto"/>
        <w:rPr>
          <w:rFonts w:ascii="Arial" w:hAnsi="Arial" w:cs="Arial"/>
          <w:bCs/>
          <w:color w:val="000000"/>
          <w:sz w:val="20"/>
          <w:szCs w:val="20"/>
        </w:rPr>
      </w:pPr>
    </w:p>
    <w:p w:rsidR="00355D74" w:rsidRDefault="00355D74" w:rsidP="00355D74">
      <w:pPr>
        <w:spacing w:line="259" w:lineRule="auto"/>
        <w:rPr>
          <w:rFonts w:ascii="Arial" w:hAnsi="Arial" w:cs="Arial"/>
          <w:bCs/>
          <w:color w:val="000000"/>
          <w:sz w:val="20"/>
          <w:szCs w:val="20"/>
        </w:rPr>
      </w:pPr>
    </w:p>
    <w:p w:rsidR="00355D74" w:rsidRDefault="00355D74" w:rsidP="00355D74">
      <w:pPr>
        <w:spacing w:line="259" w:lineRule="auto"/>
        <w:rPr>
          <w:rFonts w:ascii="Arial" w:hAnsi="Arial" w:cs="Arial"/>
          <w:bCs/>
          <w:color w:val="000000"/>
          <w:sz w:val="20"/>
          <w:szCs w:val="20"/>
        </w:rPr>
      </w:pPr>
    </w:p>
    <w:p w:rsidR="00355D74" w:rsidRDefault="00355D74" w:rsidP="00355D74">
      <w:pPr>
        <w:spacing w:line="259" w:lineRule="auto"/>
        <w:rPr>
          <w:rFonts w:ascii="Arial" w:hAnsi="Arial" w:cs="Arial"/>
          <w:bCs/>
          <w:color w:val="000000"/>
          <w:sz w:val="20"/>
          <w:szCs w:val="20"/>
        </w:rPr>
      </w:pPr>
    </w:p>
    <w:p w:rsidR="00355D74" w:rsidRDefault="00355D74" w:rsidP="00355D74">
      <w:pPr>
        <w:spacing w:line="259" w:lineRule="auto"/>
        <w:rPr>
          <w:rFonts w:ascii="Arial" w:hAnsi="Arial" w:cs="Arial"/>
          <w:bCs/>
          <w:color w:val="000000"/>
          <w:sz w:val="20"/>
          <w:szCs w:val="20"/>
        </w:rPr>
      </w:pPr>
    </w:p>
    <w:p w:rsidR="00355D74" w:rsidRDefault="00355D74">
      <w:pPr>
        <w:spacing w:line="259" w:lineRule="auto"/>
        <w:rPr>
          <w:rFonts w:ascii="Arial" w:hAnsi="Arial" w:cs="Arial"/>
          <w:sz w:val="20"/>
          <w:szCs w:val="20"/>
        </w:rPr>
      </w:pPr>
    </w:p>
    <w:p w:rsidR="00355D74" w:rsidRDefault="00355D74">
      <w:pPr>
        <w:spacing w:line="259" w:lineRule="auto"/>
        <w:rPr>
          <w:rFonts w:ascii="Arial" w:hAnsi="Arial" w:cs="Arial"/>
          <w:sz w:val="20"/>
          <w:szCs w:val="20"/>
        </w:rPr>
      </w:pPr>
    </w:p>
    <w:p w:rsidR="00355D74" w:rsidRDefault="00355D74">
      <w:pPr>
        <w:spacing w:line="259" w:lineRule="auto"/>
        <w:rPr>
          <w:rFonts w:ascii="Arial" w:hAnsi="Arial" w:cs="Arial"/>
          <w:sz w:val="20"/>
          <w:szCs w:val="20"/>
        </w:rPr>
      </w:pPr>
    </w:p>
    <w:p w:rsidR="00355D74" w:rsidRDefault="00355D74">
      <w:pPr>
        <w:spacing w:line="259" w:lineRule="auto"/>
        <w:rPr>
          <w:rFonts w:ascii="Arial" w:hAnsi="Arial" w:cs="Arial"/>
          <w:sz w:val="20"/>
          <w:szCs w:val="20"/>
        </w:rPr>
      </w:pPr>
    </w:p>
    <w:p w:rsidR="00355D74" w:rsidRDefault="00355D74">
      <w:pPr>
        <w:spacing w:line="259" w:lineRule="auto"/>
        <w:rPr>
          <w:rFonts w:ascii="Arial" w:hAnsi="Arial" w:cs="Arial"/>
          <w:sz w:val="20"/>
          <w:szCs w:val="20"/>
        </w:rPr>
      </w:pPr>
    </w:p>
    <w:p w:rsidR="00355D74" w:rsidRDefault="00355D74" w:rsidP="00355D74">
      <w:pPr>
        <w:spacing w:line="259" w:lineRule="auto"/>
        <w:rPr>
          <w:rFonts w:ascii="Arial" w:hAnsi="Arial" w:cs="Arial"/>
          <w:b/>
          <w:bCs/>
          <w:color w:val="000000"/>
          <w:sz w:val="20"/>
          <w:szCs w:val="20"/>
        </w:rPr>
      </w:pPr>
      <w:r>
        <w:rPr>
          <w:rFonts w:ascii="Arial" w:hAnsi="Arial" w:cs="Arial"/>
          <w:b/>
          <w:bCs/>
          <w:color w:val="000000"/>
          <w:sz w:val="20"/>
          <w:szCs w:val="20"/>
        </w:rPr>
        <w:lastRenderedPageBreak/>
        <w:t>Master Direction on Interest Rate on Deposits - Foreign Currency (Non-resident) Accounts (Banks) Scheme [FCNR(B)] and Non-Resident (External) Rupee (NRE) Deposit</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RBI/2022-23/82</w:t>
      </w:r>
      <w:r>
        <w:rPr>
          <w:rFonts w:ascii="Arial" w:hAnsi="Arial" w:cs="Arial"/>
          <w:color w:val="000000"/>
          <w:sz w:val="20"/>
          <w:szCs w:val="20"/>
        </w:rPr>
        <w:br/>
        <w:t>DOR.SOG (SPE).</w:t>
      </w:r>
      <w:proofErr w:type="spellStart"/>
      <w:r>
        <w:rPr>
          <w:rFonts w:ascii="Arial" w:hAnsi="Arial" w:cs="Arial"/>
          <w:color w:val="000000"/>
          <w:sz w:val="20"/>
          <w:szCs w:val="20"/>
        </w:rPr>
        <w:t>REC.No</w:t>
      </w:r>
      <w:proofErr w:type="spellEnd"/>
      <w:r>
        <w:rPr>
          <w:rFonts w:ascii="Arial" w:hAnsi="Arial" w:cs="Arial"/>
          <w:color w:val="000000"/>
          <w:sz w:val="20"/>
          <w:szCs w:val="20"/>
        </w:rPr>
        <w:t xml:space="preserve"> 53/13.03.000/2022-23</w:t>
      </w:r>
    </w:p>
    <w:p w:rsidR="00355D74" w:rsidRDefault="00355D74" w:rsidP="00355D74">
      <w:pPr>
        <w:pStyle w:val="NormalWeb"/>
        <w:jc w:val="right"/>
        <w:rPr>
          <w:rFonts w:ascii="Arial" w:hAnsi="Arial" w:cs="Arial"/>
          <w:color w:val="000000"/>
          <w:sz w:val="20"/>
          <w:szCs w:val="20"/>
        </w:rPr>
      </w:pPr>
      <w:r>
        <w:rPr>
          <w:rFonts w:ascii="Arial" w:hAnsi="Arial" w:cs="Arial"/>
          <w:color w:val="000000"/>
          <w:sz w:val="20"/>
          <w:szCs w:val="20"/>
        </w:rPr>
        <w:t>July 06, 2022</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All Small Finance Banks</w:t>
      </w:r>
      <w:r>
        <w:rPr>
          <w:rFonts w:ascii="Arial" w:hAnsi="Arial" w:cs="Arial"/>
          <w:color w:val="000000"/>
          <w:sz w:val="20"/>
          <w:szCs w:val="20"/>
        </w:rPr>
        <w:br/>
        <w:t>All Local Area Banks</w:t>
      </w:r>
      <w:r>
        <w:rPr>
          <w:rFonts w:ascii="Arial" w:hAnsi="Arial" w:cs="Arial"/>
          <w:color w:val="000000"/>
          <w:sz w:val="20"/>
          <w:szCs w:val="20"/>
        </w:rPr>
        <w:br/>
        <w:t>All Payment Banks</w:t>
      </w:r>
      <w:r>
        <w:rPr>
          <w:rFonts w:ascii="Arial" w:hAnsi="Arial" w:cs="Arial"/>
          <w:color w:val="000000"/>
          <w:sz w:val="20"/>
          <w:szCs w:val="20"/>
        </w:rPr>
        <w:br/>
        <w:t>All Primary (Urban) Co-operative Banks/ DCCBs /State Cooperative Banks</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Dear Sir / Madam,</w:t>
      </w:r>
    </w:p>
    <w:p w:rsidR="00355D74" w:rsidRDefault="00355D74" w:rsidP="00355D74">
      <w:pPr>
        <w:pStyle w:val="head"/>
        <w:rPr>
          <w:rFonts w:ascii="Arial" w:hAnsi="Arial" w:cs="Arial"/>
          <w:b/>
          <w:bCs/>
          <w:color w:val="000000"/>
          <w:sz w:val="20"/>
          <w:szCs w:val="20"/>
        </w:rPr>
      </w:pPr>
      <w:r>
        <w:rPr>
          <w:rFonts w:ascii="Arial" w:hAnsi="Arial" w:cs="Arial"/>
          <w:b/>
          <w:bCs/>
          <w:color w:val="000000"/>
          <w:sz w:val="20"/>
          <w:szCs w:val="20"/>
        </w:rPr>
        <w:t>Master Direction on Interest Rate on Deposits - Foreign Currency (Non-resident) Accounts (Banks) Scheme [FCNR(B)] and Non-Resident (External) Rupee (NRE) Deposit</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Please refer to the instructions regarding interest rates on FCNR (B) deposits contained in Section 19 of the </w:t>
      </w:r>
      <w:hyperlink r:id="rId9" w:tgtFrame="_blank" w:history="1">
        <w:r>
          <w:rPr>
            <w:rStyle w:val="Hyperlink"/>
            <w:rFonts w:ascii="Arial" w:hAnsi="Arial" w:cs="Arial"/>
            <w:sz w:val="20"/>
            <w:szCs w:val="20"/>
          </w:rPr>
          <w:t>Master Direction (MD) on Interest Rate on Deposits dated March 03, 2016</w:t>
        </w:r>
      </w:hyperlink>
      <w:r>
        <w:rPr>
          <w:rFonts w:ascii="Arial" w:hAnsi="Arial" w:cs="Arial"/>
          <w:color w:val="000000"/>
          <w:sz w:val="20"/>
          <w:szCs w:val="20"/>
        </w:rPr>
        <w:t> and Section 18 of the </w:t>
      </w:r>
      <w:hyperlink r:id="rId10" w:tgtFrame="_blank" w:history="1">
        <w:r>
          <w:rPr>
            <w:rStyle w:val="Hyperlink"/>
            <w:rFonts w:ascii="Arial" w:hAnsi="Arial" w:cs="Arial"/>
            <w:sz w:val="20"/>
            <w:szCs w:val="20"/>
          </w:rPr>
          <w:t>Master Direction (MD) on Interest Rate on Deposits dated May 12, 2016</w:t>
        </w:r>
      </w:hyperlink>
      <w:r>
        <w:rPr>
          <w:rFonts w:ascii="Arial" w:hAnsi="Arial" w:cs="Arial"/>
          <w:color w:val="000000"/>
          <w:sz w:val="20"/>
          <w:szCs w:val="20"/>
        </w:rPr>
        <w:t>. In this connection, banks are advised that with effect from July 07, 2022, the interest rate ceiling applicable to FCNR (B) deposits is being temporarily withdrawn for incremental FCNR (B) deposits mobilized by banks for the period until October 31, 2022.</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2. Further, in terms of Section 15 (d) and Section 14 (d) of the above-mentioned MDs respectively, interest rates on NRE deposits shall not be higher than those offered by the banks on comparable domestic rupee term deposits. In this regard, the said restriction with respect to interest rates offered on incremental NRE deposits mobilized by banks shall be temporarily withdrawn with effect from July 07, 2022, for the period until October 31, 2022. The above relaxation shall not be applicable to Ordinary Non-Resident (NRO) Deposits.</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3. These concessions will be subject to review.</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4. All other instructions in this regard shall remain unchanged.</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Yours faithfully,</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355D74" w:rsidRDefault="00355D74" w:rsidP="00355D74">
      <w:pPr>
        <w:spacing w:line="259" w:lineRule="auto"/>
        <w:rPr>
          <w:rFonts w:ascii="Arial" w:hAnsi="Arial" w:cs="Arial"/>
          <w:sz w:val="20"/>
          <w:szCs w:val="20"/>
        </w:rPr>
      </w:pPr>
    </w:p>
    <w:p w:rsidR="00355D74" w:rsidRDefault="00355D74" w:rsidP="00355D74">
      <w:pPr>
        <w:spacing w:line="259" w:lineRule="auto"/>
        <w:rPr>
          <w:rFonts w:ascii="Arial" w:hAnsi="Arial" w:cs="Arial"/>
          <w:sz w:val="20"/>
          <w:szCs w:val="20"/>
        </w:rPr>
      </w:pPr>
    </w:p>
    <w:p w:rsidR="00355D74" w:rsidRDefault="00355D74" w:rsidP="00355D74">
      <w:pPr>
        <w:spacing w:line="259" w:lineRule="auto"/>
        <w:rPr>
          <w:rFonts w:ascii="Arial" w:hAnsi="Arial" w:cs="Arial"/>
          <w:sz w:val="20"/>
          <w:szCs w:val="20"/>
        </w:rPr>
      </w:pPr>
    </w:p>
    <w:p w:rsidR="00355D74" w:rsidRDefault="00355D74" w:rsidP="00355D74">
      <w:r>
        <w:t>More details can be referred to in the below link.</w:t>
      </w:r>
    </w:p>
    <w:p w:rsidR="00355D74" w:rsidRDefault="00355D74" w:rsidP="00355D74">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11" w:history="1">
        <w:r w:rsidRPr="006865D6">
          <w:rPr>
            <w:rStyle w:val="Hyperlink"/>
            <w:rFonts w:ascii="Arial" w:hAnsi="Arial" w:cs="Arial"/>
            <w:bCs/>
            <w:sz w:val="20"/>
            <w:szCs w:val="20"/>
          </w:rPr>
          <w:t>https://rbi.org.in/Scripts/NotificationUser.aspx?Id=12350&amp;Mode=0</w:t>
        </w:r>
      </w:hyperlink>
    </w:p>
    <w:p w:rsidR="00355D74" w:rsidRDefault="00355D74">
      <w:pPr>
        <w:spacing w:line="259" w:lineRule="auto"/>
        <w:rPr>
          <w:rFonts w:ascii="Arial" w:hAnsi="Arial" w:cs="Arial"/>
          <w:sz w:val="20"/>
          <w:szCs w:val="20"/>
        </w:rPr>
      </w:pPr>
    </w:p>
    <w:p w:rsidR="00355D74" w:rsidRDefault="00355D74">
      <w:pPr>
        <w:spacing w:line="259" w:lineRule="auto"/>
        <w:rPr>
          <w:rFonts w:ascii="Arial" w:hAnsi="Arial" w:cs="Arial"/>
          <w:sz w:val="20"/>
          <w:szCs w:val="20"/>
        </w:rPr>
      </w:pPr>
    </w:p>
    <w:p w:rsidR="00355D74" w:rsidRDefault="00355D74">
      <w:pPr>
        <w:spacing w:line="259" w:lineRule="auto"/>
        <w:rPr>
          <w:rFonts w:ascii="Arial" w:hAnsi="Arial" w:cs="Arial"/>
          <w:sz w:val="20"/>
          <w:szCs w:val="20"/>
        </w:rPr>
      </w:pPr>
    </w:p>
    <w:p w:rsidR="00355D74" w:rsidRDefault="00355D74">
      <w:pPr>
        <w:spacing w:line="259" w:lineRule="auto"/>
        <w:rPr>
          <w:rFonts w:ascii="Arial" w:hAnsi="Arial" w:cs="Arial"/>
          <w:sz w:val="20"/>
          <w:szCs w:val="20"/>
        </w:rPr>
      </w:pPr>
    </w:p>
    <w:p w:rsidR="002D338D" w:rsidRDefault="002D338D" w:rsidP="002D338D">
      <w:pPr>
        <w:spacing w:line="259" w:lineRule="auto"/>
        <w:rPr>
          <w:rFonts w:ascii="Arial" w:hAnsi="Arial" w:cs="Arial"/>
          <w:b/>
          <w:bCs/>
          <w:color w:val="000000"/>
          <w:sz w:val="20"/>
          <w:szCs w:val="20"/>
        </w:rPr>
      </w:pPr>
      <w:r>
        <w:rPr>
          <w:rFonts w:ascii="Arial" w:hAnsi="Arial" w:cs="Arial"/>
          <w:b/>
          <w:bCs/>
          <w:color w:val="000000"/>
          <w:sz w:val="20"/>
          <w:szCs w:val="20"/>
        </w:rPr>
        <w:lastRenderedPageBreak/>
        <w:t>Section 42 of the Reserve Bank of India Act, 1934 and Section 18 and 24 of the Banking Regulation Act, 1949 – FCNR (B)/NRE Term deposits - Exemption from maintenance of CRR/SLR</w:t>
      </w:r>
    </w:p>
    <w:p w:rsidR="002D338D" w:rsidRPr="0001134A" w:rsidRDefault="002D338D" w:rsidP="002D338D">
      <w:pPr>
        <w:spacing w:before="100" w:beforeAutospacing="1" w:after="100" w:afterAutospacing="1" w:line="240" w:lineRule="auto"/>
        <w:rPr>
          <w:rFonts w:ascii="Arial" w:eastAsia="Times New Roman" w:hAnsi="Arial" w:cs="Arial"/>
          <w:color w:val="000000"/>
          <w:sz w:val="20"/>
          <w:szCs w:val="20"/>
          <w:lang w:eastAsia="en-IN"/>
        </w:rPr>
      </w:pPr>
      <w:r w:rsidRPr="0001134A">
        <w:rPr>
          <w:rFonts w:ascii="Arial" w:eastAsia="Times New Roman" w:hAnsi="Arial" w:cs="Arial"/>
          <w:color w:val="000000"/>
          <w:sz w:val="20"/>
          <w:szCs w:val="20"/>
          <w:lang w:eastAsia="en-IN"/>
        </w:rPr>
        <w:t>RBI/2022-23/83</w:t>
      </w:r>
      <w:r w:rsidRPr="0001134A">
        <w:rPr>
          <w:rFonts w:ascii="Arial" w:eastAsia="Times New Roman" w:hAnsi="Arial" w:cs="Arial"/>
          <w:color w:val="000000"/>
          <w:sz w:val="20"/>
          <w:szCs w:val="20"/>
          <w:lang w:eastAsia="en-IN"/>
        </w:rPr>
        <w:br/>
        <w:t>DOR.RET.REC.54/12.01.001/2022-23</w:t>
      </w:r>
    </w:p>
    <w:p w:rsidR="002D338D" w:rsidRPr="0001134A" w:rsidRDefault="002D338D" w:rsidP="002D338D">
      <w:pPr>
        <w:spacing w:before="100" w:beforeAutospacing="1" w:after="100" w:afterAutospacing="1" w:line="240" w:lineRule="auto"/>
        <w:jc w:val="right"/>
        <w:rPr>
          <w:rFonts w:ascii="Arial" w:eastAsia="Times New Roman" w:hAnsi="Arial" w:cs="Arial"/>
          <w:color w:val="000000"/>
          <w:sz w:val="20"/>
          <w:szCs w:val="20"/>
          <w:lang w:eastAsia="en-IN"/>
        </w:rPr>
      </w:pPr>
      <w:r w:rsidRPr="0001134A">
        <w:rPr>
          <w:rFonts w:ascii="Arial" w:eastAsia="Times New Roman" w:hAnsi="Arial" w:cs="Arial"/>
          <w:color w:val="000000"/>
          <w:sz w:val="20"/>
          <w:szCs w:val="20"/>
          <w:lang w:eastAsia="en-IN"/>
        </w:rPr>
        <w:t>July 06, 2022</w:t>
      </w:r>
    </w:p>
    <w:p w:rsidR="002D338D" w:rsidRPr="0001134A" w:rsidRDefault="002D338D" w:rsidP="002D338D">
      <w:pPr>
        <w:spacing w:before="100" w:beforeAutospacing="1" w:after="100" w:afterAutospacing="1" w:line="240" w:lineRule="auto"/>
        <w:rPr>
          <w:rFonts w:ascii="Arial" w:eastAsia="Times New Roman" w:hAnsi="Arial" w:cs="Arial"/>
          <w:color w:val="000000"/>
          <w:sz w:val="20"/>
          <w:szCs w:val="20"/>
          <w:lang w:eastAsia="en-IN"/>
        </w:rPr>
      </w:pPr>
      <w:r w:rsidRPr="0001134A">
        <w:rPr>
          <w:rFonts w:ascii="Arial" w:eastAsia="Times New Roman" w:hAnsi="Arial" w:cs="Arial"/>
          <w:color w:val="000000"/>
          <w:sz w:val="20"/>
          <w:szCs w:val="20"/>
          <w:lang w:eastAsia="en-IN"/>
        </w:rPr>
        <w:t>All Scheduled Commercial Banks (including Regional Rural Banks)</w:t>
      </w:r>
      <w:r w:rsidRPr="0001134A">
        <w:rPr>
          <w:rFonts w:ascii="Arial" w:eastAsia="Times New Roman" w:hAnsi="Arial" w:cs="Arial"/>
          <w:color w:val="000000"/>
          <w:sz w:val="20"/>
          <w:szCs w:val="20"/>
          <w:lang w:eastAsia="en-IN"/>
        </w:rPr>
        <w:br/>
        <w:t>Local Area Banks, Small Finance Banks, Payments Banks</w:t>
      </w:r>
      <w:r w:rsidRPr="0001134A">
        <w:rPr>
          <w:rFonts w:ascii="Arial" w:eastAsia="Times New Roman" w:hAnsi="Arial" w:cs="Arial"/>
          <w:color w:val="000000"/>
          <w:sz w:val="20"/>
          <w:szCs w:val="20"/>
          <w:lang w:eastAsia="en-IN"/>
        </w:rPr>
        <w:br/>
        <w:t>Primary (Urban) Co-operative Banks (UCBs)</w:t>
      </w:r>
      <w:r w:rsidRPr="0001134A">
        <w:rPr>
          <w:rFonts w:ascii="Arial" w:eastAsia="Times New Roman" w:hAnsi="Arial" w:cs="Arial"/>
          <w:color w:val="000000"/>
          <w:sz w:val="20"/>
          <w:szCs w:val="20"/>
          <w:lang w:eastAsia="en-IN"/>
        </w:rPr>
        <w:br/>
        <w:t>State and Central Co-operative Banks (</w:t>
      </w:r>
      <w:proofErr w:type="spellStart"/>
      <w:r w:rsidRPr="0001134A">
        <w:rPr>
          <w:rFonts w:ascii="Arial" w:eastAsia="Times New Roman" w:hAnsi="Arial" w:cs="Arial"/>
          <w:color w:val="000000"/>
          <w:sz w:val="20"/>
          <w:szCs w:val="20"/>
          <w:lang w:eastAsia="en-IN"/>
        </w:rPr>
        <w:t>StCBs</w:t>
      </w:r>
      <w:proofErr w:type="spellEnd"/>
      <w:r w:rsidRPr="0001134A">
        <w:rPr>
          <w:rFonts w:ascii="Arial" w:eastAsia="Times New Roman" w:hAnsi="Arial" w:cs="Arial"/>
          <w:color w:val="000000"/>
          <w:sz w:val="20"/>
          <w:szCs w:val="20"/>
          <w:lang w:eastAsia="en-IN"/>
        </w:rPr>
        <w:t xml:space="preserve"> / CCBs)</w:t>
      </w:r>
    </w:p>
    <w:p w:rsidR="002D338D" w:rsidRPr="0001134A" w:rsidRDefault="002D338D" w:rsidP="002D338D">
      <w:pPr>
        <w:spacing w:before="100" w:beforeAutospacing="1" w:after="100" w:afterAutospacing="1" w:line="240" w:lineRule="auto"/>
        <w:rPr>
          <w:rFonts w:ascii="Arial" w:eastAsia="Times New Roman" w:hAnsi="Arial" w:cs="Arial"/>
          <w:color w:val="000000"/>
          <w:sz w:val="20"/>
          <w:szCs w:val="20"/>
          <w:lang w:eastAsia="en-IN"/>
        </w:rPr>
      </w:pPr>
      <w:r w:rsidRPr="0001134A">
        <w:rPr>
          <w:rFonts w:ascii="Arial" w:eastAsia="Times New Roman" w:hAnsi="Arial" w:cs="Arial"/>
          <w:color w:val="000000"/>
          <w:sz w:val="20"/>
          <w:szCs w:val="20"/>
          <w:lang w:eastAsia="en-IN"/>
        </w:rPr>
        <w:t>Madam/Dear Sir,</w:t>
      </w:r>
    </w:p>
    <w:p w:rsidR="002D338D" w:rsidRPr="0001134A" w:rsidRDefault="002D338D" w:rsidP="002D338D">
      <w:pPr>
        <w:spacing w:before="100" w:beforeAutospacing="1" w:after="100" w:afterAutospacing="1" w:line="240" w:lineRule="auto"/>
        <w:rPr>
          <w:rFonts w:ascii="Arial" w:eastAsia="Times New Roman" w:hAnsi="Arial" w:cs="Arial"/>
          <w:b/>
          <w:bCs/>
          <w:color w:val="000000"/>
          <w:sz w:val="20"/>
          <w:szCs w:val="20"/>
          <w:lang w:eastAsia="en-IN"/>
        </w:rPr>
      </w:pPr>
      <w:r w:rsidRPr="0001134A">
        <w:rPr>
          <w:rFonts w:ascii="Arial" w:eastAsia="Times New Roman" w:hAnsi="Arial" w:cs="Arial"/>
          <w:b/>
          <w:bCs/>
          <w:color w:val="000000"/>
          <w:sz w:val="20"/>
          <w:szCs w:val="20"/>
          <w:lang w:eastAsia="en-IN"/>
        </w:rPr>
        <w:t>Section 42 of the Reserve Bank of India Act, 1934 and Section 18 and 24 of the Banking Regulation Act, 1949 – FCNR (B)/NRE Term deposits - Exemption from maintenance of CRR/SLR</w:t>
      </w:r>
    </w:p>
    <w:p w:rsidR="002D338D" w:rsidRPr="0001134A" w:rsidRDefault="002D338D" w:rsidP="002D338D">
      <w:pPr>
        <w:spacing w:before="100" w:beforeAutospacing="1" w:after="100" w:afterAutospacing="1" w:line="240" w:lineRule="auto"/>
        <w:rPr>
          <w:rFonts w:ascii="Arial" w:eastAsia="Times New Roman" w:hAnsi="Arial" w:cs="Arial"/>
          <w:color w:val="000000"/>
          <w:sz w:val="20"/>
          <w:szCs w:val="20"/>
          <w:lang w:eastAsia="en-IN"/>
        </w:rPr>
      </w:pPr>
      <w:r w:rsidRPr="0001134A">
        <w:rPr>
          <w:rFonts w:ascii="Arial" w:eastAsia="Times New Roman" w:hAnsi="Arial" w:cs="Arial"/>
          <w:color w:val="000000"/>
          <w:sz w:val="20"/>
          <w:szCs w:val="20"/>
          <w:lang w:eastAsia="en-IN"/>
        </w:rPr>
        <w:t>At present, banks are required to include all Foreign Currency Non-Resident (Bank) [FCNR (B)] and Non-Resident (External) Rupee (NRE) deposit liabilities for computation of Net Demand and Time Liabilities (NDTL) for maintenance of CRR and SLR.</w:t>
      </w:r>
    </w:p>
    <w:p w:rsidR="002D338D" w:rsidRPr="0001134A" w:rsidRDefault="002D338D" w:rsidP="002D338D">
      <w:pPr>
        <w:spacing w:before="100" w:beforeAutospacing="1" w:after="100" w:afterAutospacing="1" w:line="240" w:lineRule="auto"/>
        <w:rPr>
          <w:rFonts w:ascii="Arial" w:eastAsia="Times New Roman" w:hAnsi="Arial" w:cs="Arial"/>
          <w:color w:val="000000"/>
          <w:sz w:val="20"/>
          <w:szCs w:val="20"/>
          <w:lang w:eastAsia="en-IN"/>
        </w:rPr>
      </w:pPr>
      <w:r w:rsidRPr="0001134A">
        <w:rPr>
          <w:rFonts w:ascii="Arial" w:eastAsia="Times New Roman" w:hAnsi="Arial" w:cs="Arial"/>
          <w:color w:val="000000"/>
          <w:sz w:val="20"/>
          <w:szCs w:val="20"/>
          <w:lang w:eastAsia="en-IN"/>
        </w:rPr>
        <w:t>2. Banks are advised that with effect from the reporting fortnight beginning July 30, 2022, incremental FCNR (B) deposits as also NRE Term deposits with reference to base date of July 1, 2022, mobilised by banks will be exempt from maintenance of CRR and SLR. To amplify, if a bank had total FCNR (B) deposit of say USD 100 as on the base date, and mobilises an incremental deposit of say USD 20, that portion of USD 20 will not be part of liabilities reckoned for the purpose of NDTL computation for CRR and SLR maintenance with effect from the fortnight beginning July 30, 2022. The same principle will apply for calculation of NRE Term deposits for exemption from maintenance of CRR/SLR requirements. However, any transfer from Non-Resident (Ordinary) (NRO) accounts to NRE accounts will not qualify for such exemptions.</w:t>
      </w:r>
    </w:p>
    <w:p w:rsidR="002D338D" w:rsidRPr="0001134A" w:rsidRDefault="002D338D" w:rsidP="002D338D">
      <w:pPr>
        <w:spacing w:before="100" w:beforeAutospacing="1" w:after="100" w:afterAutospacing="1" w:line="240" w:lineRule="auto"/>
        <w:rPr>
          <w:rFonts w:ascii="Arial" w:eastAsia="Times New Roman" w:hAnsi="Arial" w:cs="Arial"/>
          <w:color w:val="000000"/>
          <w:sz w:val="20"/>
          <w:szCs w:val="20"/>
          <w:lang w:eastAsia="en-IN"/>
        </w:rPr>
      </w:pPr>
      <w:r w:rsidRPr="0001134A">
        <w:rPr>
          <w:rFonts w:ascii="Arial" w:eastAsia="Times New Roman" w:hAnsi="Arial" w:cs="Arial"/>
          <w:color w:val="000000"/>
          <w:sz w:val="20"/>
          <w:szCs w:val="20"/>
          <w:lang w:eastAsia="en-IN"/>
        </w:rPr>
        <w:t>3. The above exemptions are valid for deposits raised till November 04, 2022. The exemption on reserves maintenance will be available for the original deposit amounts till such time the deposits are held in the bank books.</w:t>
      </w:r>
    </w:p>
    <w:p w:rsidR="002D338D" w:rsidRPr="0001134A" w:rsidRDefault="002D338D" w:rsidP="002D338D">
      <w:pPr>
        <w:spacing w:before="100" w:beforeAutospacing="1" w:after="100" w:afterAutospacing="1" w:line="240" w:lineRule="auto"/>
        <w:rPr>
          <w:rFonts w:ascii="Arial" w:eastAsia="Times New Roman" w:hAnsi="Arial" w:cs="Arial"/>
          <w:color w:val="000000"/>
          <w:sz w:val="20"/>
          <w:szCs w:val="20"/>
          <w:lang w:eastAsia="en-IN"/>
        </w:rPr>
      </w:pPr>
      <w:r w:rsidRPr="0001134A">
        <w:rPr>
          <w:rFonts w:ascii="Arial" w:eastAsia="Times New Roman" w:hAnsi="Arial" w:cs="Arial"/>
          <w:color w:val="000000"/>
          <w:sz w:val="20"/>
          <w:szCs w:val="20"/>
          <w:lang w:eastAsia="en-IN"/>
        </w:rPr>
        <w:t>Yours faithfully</w:t>
      </w:r>
    </w:p>
    <w:p w:rsidR="002D338D" w:rsidRPr="0001134A" w:rsidRDefault="002D338D" w:rsidP="002D338D">
      <w:pPr>
        <w:spacing w:before="100" w:beforeAutospacing="1" w:after="100" w:afterAutospacing="1" w:line="240" w:lineRule="auto"/>
        <w:rPr>
          <w:rFonts w:ascii="Arial" w:eastAsia="Times New Roman" w:hAnsi="Arial" w:cs="Arial"/>
          <w:color w:val="000000"/>
          <w:sz w:val="20"/>
          <w:szCs w:val="20"/>
          <w:lang w:eastAsia="en-IN"/>
        </w:rPr>
      </w:pPr>
      <w:r w:rsidRPr="0001134A">
        <w:rPr>
          <w:rFonts w:ascii="Arial" w:eastAsia="Times New Roman" w:hAnsi="Arial" w:cs="Arial"/>
          <w:color w:val="000000"/>
          <w:sz w:val="20"/>
          <w:szCs w:val="20"/>
          <w:lang w:eastAsia="en-IN"/>
        </w:rPr>
        <w:t xml:space="preserve">(Prakash </w:t>
      </w:r>
      <w:proofErr w:type="spellStart"/>
      <w:r w:rsidRPr="0001134A">
        <w:rPr>
          <w:rFonts w:ascii="Arial" w:eastAsia="Times New Roman" w:hAnsi="Arial" w:cs="Arial"/>
          <w:color w:val="000000"/>
          <w:sz w:val="20"/>
          <w:szCs w:val="20"/>
          <w:lang w:eastAsia="en-IN"/>
        </w:rPr>
        <w:t>Baliarsingh</w:t>
      </w:r>
      <w:proofErr w:type="spellEnd"/>
      <w:r w:rsidRPr="0001134A">
        <w:rPr>
          <w:rFonts w:ascii="Arial" w:eastAsia="Times New Roman" w:hAnsi="Arial" w:cs="Arial"/>
          <w:color w:val="000000"/>
          <w:sz w:val="20"/>
          <w:szCs w:val="20"/>
          <w:lang w:eastAsia="en-IN"/>
        </w:rPr>
        <w:t>)</w:t>
      </w:r>
      <w:r w:rsidRPr="0001134A">
        <w:rPr>
          <w:rFonts w:ascii="Arial" w:eastAsia="Times New Roman" w:hAnsi="Arial" w:cs="Arial"/>
          <w:color w:val="000000"/>
          <w:sz w:val="20"/>
          <w:szCs w:val="20"/>
          <w:lang w:eastAsia="en-IN"/>
        </w:rPr>
        <w:br/>
        <w:t>Chief General Manager</w:t>
      </w: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r>
        <w:t>More details can be referred to in the below link.</w:t>
      </w:r>
    </w:p>
    <w:p w:rsidR="002D338D" w:rsidRDefault="002D338D" w:rsidP="002D338D">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12" w:history="1">
        <w:r w:rsidRPr="006865D6">
          <w:rPr>
            <w:rStyle w:val="Hyperlink"/>
            <w:rFonts w:ascii="Arial" w:hAnsi="Arial" w:cs="Arial"/>
            <w:bCs/>
            <w:sz w:val="20"/>
            <w:szCs w:val="20"/>
          </w:rPr>
          <w:t>https://www.rbi.org.in/scripts/NotificationUser.aspx?Id=12351&amp;Mode=0</w:t>
        </w:r>
      </w:hyperlink>
    </w:p>
    <w:p w:rsidR="00355D74" w:rsidRDefault="00355D74">
      <w:pPr>
        <w:spacing w:line="259" w:lineRule="auto"/>
        <w:rPr>
          <w:rFonts w:ascii="Arial" w:hAnsi="Arial" w:cs="Arial"/>
          <w:sz w:val="20"/>
          <w:szCs w:val="20"/>
        </w:rPr>
      </w:pPr>
    </w:p>
    <w:p w:rsidR="002D338D" w:rsidRDefault="002D338D">
      <w:pPr>
        <w:spacing w:line="259" w:lineRule="auto"/>
        <w:rPr>
          <w:rFonts w:ascii="Arial" w:hAnsi="Arial" w:cs="Arial"/>
          <w:sz w:val="20"/>
          <w:szCs w:val="20"/>
        </w:rPr>
      </w:pPr>
    </w:p>
    <w:p w:rsidR="002D338D" w:rsidRDefault="002D338D">
      <w:pPr>
        <w:spacing w:line="259" w:lineRule="auto"/>
        <w:rPr>
          <w:rFonts w:ascii="Arial" w:hAnsi="Arial" w:cs="Arial"/>
          <w:sz w:val="20"/>
          <w:szCs w:val="20"/>
        </w:rPr>
      </w:pPr>
    </w:p>
    <w:p w:rsidR="002D338D" w:rsidRDefault="002D338D" w:rsidP="002D338D">
      <w:pPr>
        <w:spacing w:after="0"/>
        <w:jc w:val="both"/>
        <w:rPr>
          <w:rFonts w:ascii="Arial" w:hAnsi="Arial" w:cs="Arial"/>
          <w:b/>
          <w:bCs/>
          <w:color w:val="000000"/>
          <w:sz w:val="20"/>
          <w:szCs w:val="20"/>
        </w:rPr>
      </w:pPr>
      <w:r>
        <w:rPr>
          <w:rFonts w:ascii="Arial" w:hAnsi="Arial" w:cs="Arial"/>
          <w:b/>
          <w:bCs/>
          <w:color w:val="000000"/>
          <w:sz w:val="20"/>
          <w:szCs w:val="20"/>
        </w:rPr>
        <w:lastRenderedPageBreak/>
        <w:t>Investment by Foreign Portfolio Investors (FPI) in Debt - Relaxations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RBI/2022-23/87</w:t>
      </w:r>
      <w:r>
        <w:rPr>
          <w:rFonts w:ascii="Arial" w:hAnsi="Arial" w:cs="Arial"/>
          <w:color w:val="000000"/>
          <w:sz w:val="20"/>
          <w:szCs w:val="20"/>
        </w:rPr>
        <w:br/>
        <w:t>A.P. (DIR Series) Circular No.07</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July 07, 2022</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To</w:t>
      </w:r>
      <w:r>
        <w:rPr>
          <w:rFonts w:ascii="Arial" w:hAnsi="Arial" w:cs="Arial"/>
          <w:color w:val="000000"/>
          <w:sz w:val="20"/>
          <w:szCs w:val="20"/>
        </w:rPr>
        <w:br/>
        <w:t>All Authorised Persons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Madam/Sir,</w:t>
      </w:r>
    </w:p>
    <w:p w:rsidR="002D338D" w:rsidRDefault="002D338D" w:rsidP="002D338D">
      <w:pPr>
        <w:pStyle w:val="head"/>
        <w:jc w:val="both"/>
        <w:rPr>
          <w:rFonts w:ascii="Arial" w:hAnsi="Arial" w:cs="Arial"/>
          <w:b/>
          <w:bCs/>
          <w:color w:val="000000"/>
          <w:sz w:val="20"/>
          <w:szCs w:val="20"/>
        </w:rPr>
      </w:pPr>
      <w:r>
        <w:rPr>
          <w:rFonts w:ascii="Arial" w:hAnsi="Arial" w:cs="Arial"/>
          <w:b/>
          <w:bCs/>
          <w:color w:val="000000"/>
          <w:sz w:val="20"/>
          <w:szCs w:val="20"/>
        </w:rPr>
        <w:t>Investment by Foreign Portfolio Investors (FPI) in Debt - Relaxations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Attention of Authorised Dealer Category-I (AD Category-I) banks is invited to the paragraph 3 of the </w:t>
      </w:r>
      <w:hyperlink r:id="rId13" w:tgtFrame="_blank" w:history="1">
        <w:r>
          <w:rPr>
            <w:rStyle w:val="Hyperlink"/>
            <w:rFonts w:ascii="Arial" w:hAnsi="Arial" w:cs="Arial"/>
            <w:sz w:val="20"/>
            <w:szCs w:val="20"/>
          </w:rPr>
          <w:t>press release on “Liberalisation of Forex Flows” dated July 06, 2022</w:t>
        </w:r>
      </w:hyperlink>
      <w:r>
        <w:rPr>
          <w:rFonts w:ascii="Arial" w:hAnsi="Arial" w:cs="Arial"/>
          <w:color w:val="000000"/>
          <w:sz w:val="20"/>
          <w:szCs w:val="20"/>
        </w:rPr>
        <w:t> regarding relaxations in the regulatory regime under the Medium-Term Framework. A reference is also invited to:</w:t>
      </w:r>
    </w:p>
    <w:p w:rsidR="002D338D" w:rsidRDefault="002D338D" w:rsidP="002D338D">
      <w:pPr>
        <w:pStyle w:val="NormalWeb"/>
        <w:numPr>
          <w:ilvl w:val="0"/>
          <w:numId w:val="5"/>
        </w:numPr>
        <w:ind w:left="0"/>
        <w:jc w:val="both"/>
        <w:rPr>
          <w:rFonts w:ascii="Arial" w:hAnsi="Arial" w:cs="Arial"/>
          <w:color w:val="000000"/>
          <w:sz w:val="20"/>
          <w:szCs w:val="20"/>
        </w:rPr>
      </w:pPr>
      <w:r>
        <w:rPr>
          <w:rFonts w:ascii="Arial" w:hAnsi="Arial" w:cs="Arial"/>
          <w:color w:val="000000"/>
          <w:sz w:val="20"/>
          <w:szCs w:val="20"/>
        </w:rPr>
        <w:t>the Foreign Exchange Management (Debt Instruments) Regulations, 2019 notified vide </w:t>
      </w:r>
      <w:hyperlink r:id="rId14" w:tgtFrame="_blank" w:history="1">
        <w:r>
          <w:rPr>
            <w:rStyle w:val="Hyperlink"/>
            <w:rFonts w:ascii="Arial" w:hAnsi="Arial" w:cs="Arial"/>
            <w:sz w:val="20"/>
            <w:szCs w:val="20"/>
          </w:rPr>
          <w:t>Notification No. FEMA. 396/2019-RB dated October 17, 2019</w:t>
        </w:r>
      </w:hyperlink>
      <w:r>
        <w:rPr>
          <w:rFonts w:ascii="Arial" w:hAnsi="Arial" w:cs="Arial"/>
          <w:color w:val="000000"/>
          <w:sz w:val="20"/>
          <w:szCs w:val="20"/>
        </w:rPr>
        <w:t>, as amended from time to time, and the relevant directions issued thereunder; and</w:t>
      </w:r>
    </w:p>
    <w:p w:rsidR="002D338D" w:rsidRDefault="002D338D" w:rsidP="002D338D">
      <w:pPr>
        <w:pStyle w:val="NormalWeb"/>
        <w:numPr>
          <w:ilvl w:val="0"/>
          <w:numId w:val="5"/>
        </w:numPr>
        <w:ind w:left="0"/>
        <w:jc w:val="both"/>
        <w:rPr>
          <w:rFonts w:ascii="Arial" w:hAnsi="Arial" w:cs="Arial"/>
          <w:color w:val="000000"/>
          <w:sz w:val="20"/>
          <w:szCs w:val="20"/>
        </w:rPr>
      </w:pPr>
      <w:r>
        <w:rPr>
          <w:rFonts w:ascii="Arial" w:hAnsi="Arial" w:cs="Arial"/>
          <w:color w:val="000000"/>
          <w:sz w:val="20"/>
          <w:szCs w:val="20"/>
        </w:rPr>
        <w:t>the </w:t>
      </w:r>
      <w:hyperlink r:id="rId15" w:tgtFrame="_blank" w:history="1">
        <w:r>
          <w:rPr>
            <w:rStyle w:val="Hyperlink"/>
            <w:rFonts w:ascii="Arial" w:hAnsi="Arial" w:cs="Arial"/>
            <w:sz w:val="20"/>
            <w:szCs w:val="20"/>
          </w:rPr>
          <w:t>A.P. (DIR Series) Circular No. 31 dated June 15, 2018</w:t>
        </w:r>
      </w:hyperlink>
      <w:r>
        <w:rPr>
          <w:rFonts w:ascii="Arial" w:hAnsi="Arial" w:cs="Arial"/>
          <w:color w:val="000000"/>
          <w:sz w:val="20"/>
          <w:szCs w:val="20"/>
        </w:rPr>
        <w:t> (hereinafter, Directions), as amended from time to time.</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2. In terms of paragraphs 4(b)(i) and 4(b)(ii) of the Directions, short-term investments by an FPI in government securities (Central Government securities, including Treasury Bills and State Development Loans) and corporate bonds shall not exceed 30% of the total investment of that FPI in any category. It has been decided that investments by FPIs in government securities and corporate bonds made between July 08, 2022 and October 31, 2022 (both dates included) shall be exempted from the limit on short-term investments till maturity or sale of such investments.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3. In terms of paragraph 4(b)(ii) of the Directions, FPI investments in corporate bonds were subject to a minimum residual maturity requirement of one year. It has been decided to allow FPIs to invest in commercial papers and non-convertible debentures with an original maturity of up to one year, during the period between July 08, 2022 and October 31, 2022 (both dates included). These investments shall be exempted from the limit on short-term investments till maturity or sale of such investments.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 xml:space="preserve">4. AD Category – I </w:t>
      </w:r>
      <w:proofErr w:type="gramStart"/>
      <w:r>
        <w:rPr>
          <w:rFonts w:ascii="Arial" w:hAnsi="Arial" w:cs="Arial"/>
          <w:color w:val="000000"/>
          <w:sz w:val="20"/>
          <w:szCs w:val="20"/>
        </w:rPr>
        <w:t>banks</w:t>
      </w:r>
      <w:proofErr w:type="gramEnd"/>
      <w:r>
        <w:rPr>
          <w:rFonts w:ascii="Arial" w:hAnsi="Arial" w:cs="Arial"/>
          <w:color w:val="000000"/>
          <w:sz w:val="20"/>
          <w:szCs w:val="20"/>
        </w:rPr>
        <w:t xml:space="preserve"> may bring the contents of this circular to the notice of their constituents and customers concerned.</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5. The Directions contained in this circular have been issued under sections 10(4) and 11(1) of the Foreign Exchange Management Act, 1999 (42 of 1999) and are without prejudice to permissions/approval, if any, required under any other law.</w:t>
      </w:r>
    </w:p>
    <w:p w:rsidR="002D338D" w:rsidRPr="002C55B6" w:rsidRDefault="002D338D" w:rsidP="002D338D">
      <w:pPr>
        <w:pStyle w:val="NormalWeb"/>
        <w:jc w:val="both"/>
        <w:rPr>
          <w:rFonts w:ascii="Arial" w:hAnsi="Arial" w:cs="Arial"/>
          <w:color w:val="000000"/>
          <w:sz w:val="20"/>
          <w:szCs w:val="20"/>
        </w:rPr>
      </w:pPr>
      <w:r>
        <w:rPr>
          <w:rFonts w:ascii="Arial" w:hAnsi="Arial" w:cs="Arial"/>
          <w:color w:val="000000"/>
          <w:sz w:val="20"/>
          <w:szCs w:val="20"/>
        </w:rPr>
        <w:t>6. These Directions shall be applicable with immediate effect.</w:t>
      </w:r>
    </w:p>
    <w:p w:rsidR="002D338D" w:rsidRPr="00FB49BF" w:rsidRDefault="002D338D" w:rsidP="002D338D">
      <w:pPr>
        <w:spacing w:after="0"/>
        <w:rPr>
          <w:rFonts w:ascii="Arial" w:hAnsi="Arial" w:cs="Arial"/>
          <w:sz w:val="20"/>
          <w:szCs w:val="20"/>
        </w:rPr>
      </w:pPr>
      <w:r w:rsidRPr="00FB49BF">
        <w:rPr>
          <w:rFonts w:ascii="Arial" w:hAnsi="Arial" w:cs="Arial"/>
          <w:sz w:val="20"/>
          <w:szCs w:val="20"/>
        </w:rPr>
        <w:t>Yours faithfully,</w:t>
      </w:r>
    </w:p>
    <w:p w:rsidR="002D338D" w:rsidRPr="00FB49BF" w:rsidRDefault="002D338D" w:rsidP="002D338D">
      <w:pPr>
        <w:spacing w:after="0"/>
        <w:rPr>
          <w:rFonts w:ascii="Arial" w:hAnsi="Arial" w:cs="Arial"/>
          <w:sz w:val="20"/>
          <w:szCs w:val="20"/>
        </w:rPr>
      </w:pPr>
      <w:r w:rsidRPr="00FB49BF">
        <w:rPr>
          <w:rFonts w:ascii="Arial" w:hAnsi="Arial" w:cs="Arial"/>
          <w:sz w:val="20"/>
          <w:szCs w:val="20"/>
        </w:rPr>
        <w:t xml:space="preserve">(Dimple </w:t>
      </w:r>
      <w:proofErr w:type="spellStart"/>
      <w:r w:rsidRPr="00FB49BF">
        <w:rPr>
          <w:rFonts w:ascii="Arial" w:hAnsi="Arial" w:cs="Arial"/>
          <w:sz w:val="20"/>
          <w:szCs w:val="20"/>
        </w:rPr>
        <w:t>Bhandia</w:t>
      </w:r>
      <w:proofErr w:type="spellEnd"/>
      <w:r w:rsidRPr="00FB49BF">
        <w:rPr>
          <w:rFonts w:ascii="Arial" w:hAnsi="Arial" w:cs="Arial"/>
          <w:sz w:val="20"/>
          <w:szCs w:val="20"/>
        </w:rPr>
        <w:t>)</w:t>
      </w:r>
    </w:p>
    <w:p w:rsidR="002D338D" w:rsidRPr="00FB49BF" w:rsidRDefault="002D338D" w:rsidP="002D338D">
      <w:pPr>
        <w:spacing w:after="0"/>
        <w:rPr>
          <w:rFonts w:ascii="Arial" w:hAnsi="Arial" w:cs="Arial"/>
          <w:sz w:val="20"/>
          <w:szCs w:val="20"/>
        </w:rPr>
      </w:pPr>
      <w:r w:rsidRPr="00FB49BF">
        <w:rPr>
          <w:rFonts w:ascii="Arial" w:hAnsi="Arial" w:cs="Arial"/>
          <w:sz w:val="20"/>
          <w:szCs w:val="20"/>
        </w:rPr>
        <w:t>Chief General Manager</w:t>
      </w:r>
    </w:p>
    <w:p w:rsidR="002D338D" w:rsidRDefault="002D338D" w:rsidP="002D338D"/>
    <w:p w:rsidR="002D338D" w:rsidRDefault="002D338D" w:rsidP="002D338D">
      <w:r>
        <w:t>More details can be referred to in the below link.</w:t>
      </w:r>
    </w:p>
    <w:p w:rsidR="002D338D" w:rsidRDefault="002D338D" w:rsidP="002D338D">
      <w:pPr>
        <w:spacing w:after="0"/>
        <w:jc w:val="both"/>
        <w:rPr>
          <w:rFonts w:ascii="Arial" w:hAnsi="Arial" w:cs="Arial"/>
          <w:bCs/>
          <w:color w:val="000000"/>
          <w:sz w:val="20"/>
          <w:szCs w:val="20"/>
        </w:rPr>
      </w:pPr>
      <w:r>
        <w:rPr>
          <w:rFonts w:ascii="Arial" w:hAnsi="Arial" w:cs="Arial"/>
          <w:bCs/>
          <w:color w:val="000000"/>
          <w:sz w:val="20"/>
          <w:szCs w:val="20"/>
        </w:rPr>
        <w:t xml:space="preserve">Reference Link </w:t>
      </w:r>
      <w:hyperlink r:id="rId16" w:history="1">
        <w:r w:rsidRPr="00200311">
          <w:rPr>
            <w:rStyle w:val="Hyperlink"/>
            <w:rFonts w:ascii="Arial" w:hAnsi="Arial" w:cs="Arial"/>
            <w:bCs/>
            <w:sz w:val="20"/>
            <w:szCs w:val="20"/>
          </w:rPr>
          <w:t>https://rbi.org.in/scripts/FS_Notification.aspx?Id=12355&amp;fn=6&amp;Mode=0</w:t>
        </w:r>
      </w:hyperlink>
    </w:p>
    <w:p w:rsidR="002D338D" w:rsidRDefault="002D338D">
      <w:pPr>
        <w:spacing w:line="259" w:lineRule="auto"/>
        <w:rPr>
          <w:rFonts w:ascii="Arial" w:hAnsi="Arial" w:cs="Arial"/>
          <w:sz w:val="20"/>
          <w:szCs w:val="20"/>
        </w:rPr>
      </w:pPr>
    </w:p>
    <w:p w:rsidR="002D338D" w:rsidRDefault="002D338D">
      <w:pPr>
        <w:spacing w:line="259" w:lineRule="auto"/>
        <w:rPr>
          <w:rFonts w:ascii="Arial" w:hAnsi="Arial" w:cs="Arial"/>
          <w:sz w:val="20"/>
          <w:szCs w:val="20"/>
        </w:rPr>
      </w:pPr>
    </w:p>
    <w:p w:rsidR="002D338D" w:rsidRDefault="002D338D" w:rsidP="002D338D">
      <w:pPr>
        <w:spacing w:line="259" w:lineRule="auto"/>
        <w:rPr>
          <w:rFonts w:ascii="Arial" w:hAnsi="Arial" w:cs="Arial"/>
          <w:b/>
          <w:bCs/>
          <w:color w:val="000000"/>
          <w:sz w:val="20"/>
          <w:szCs w:val="20"/>
        </w:rPr>
      </w:pPr>
      <w:r>
        <w:rPr>
          <w:rFonts w:ascii="Arial" w:hAnsi="Arial" w:cs="Arial"/>
          <w:b/>
          <w:bCs/>
          <w:color w:val="000000"/>
          <w:sz w:val="20"/>
          <w:szCs w:val="20"/>
        </w:rPr>
        <w:lastRenderedPageBreak/>
        <w:t>Board approved Loan Policy – Management of Advances – UCBs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RBI/2022-23/93</w:t>
      </w:r>
      <w:r>
        <w:rPr>
          <w:rFonts w:ascii="Arial" w:hAnsi="Arial" w:cs="Arial"/>
          <w:color w:val="000000"/>
          <w:sz w:val="20"/>
          <w:szCs w:val="20"/>
        </w:rPr>
        <w:br/>
        <w:t>DOR.CRE.REC.56/13.05.000/2022-23</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July 26, 2022</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Madam / Dear Sir,</w:t>
      </w:r>
    </w:p>
    <w:p w:rsidR="002D338D" w:rsidRDefault="002D338D" w:rsidP="002D338D">
      <w:pPr>
        <w:pStyle w:val="head"/>
        <w:jc w:val="both"/>
        <w:rPr>
          <w:rFonts w:ascii="Arial" w:hAnsi="Arial" w:cs="Arial"/>
          <w:b/>
          <w:bCs/>
          <w:color w:val="000000"/>
          <w:sz w:val="20"/>
          <w:szCs w:val="20"/>
        </w:rPr>
      </w:pPr>
      <w:r>
        <w:rPr>
          <w:rFonts w:ascii="Arial" w:hAnsi="Arial" w:cs="Arial"/>
          <w:b/>
          <w:bCs/>
          <w:color w:val="000000"/>
          <w:sz w:val="20"/>
          <w:szCs w:val="20"/>
        </w:rPr>
        <w:t>Board approved Loan Policy – Management of Advances - UCBs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Please refer to para 1 of the </w:t>
      </w:r>
      <w:hyperlink r:id="rId17" w:tgtFrame="_blank" w:history="1">
        <w:r>
          <w:rPr>
            <w:rStyle w:val="Hyperlink"/>
            <w:rFonts w:ascii="Arial" w:hAnsi="Arial" w:cs="Arial"/>
            <w:sz w:val="20"/>
            <w:szCs w:val="20"/>
          </w:rPr>
          <w:t>Master Circular DOR.CRE.REC.No.17/13.05.000/2022-23 dated April 8, 2022</w:t>
        </w:r>
      </w:hyperlink>
      <w:r>
        <w:rPr>
          <w:rFonts w:ascii="Arial" w:hAnsi="Arial" w:cs="Arial"/>
          <w:color w:val="000000"/>
          <w:sz w:val="20"/>
          <w:szCs w:val="20"/>
        </w:rPr>
        <w:t> on Management of Advances – UCBs in terms of which, UCBs are required to lay down, with the approval of their boards, transparent policies and guidelines for credit dispensation, in respect of each broad category of economic activity, keeping in view the credit exposure norms and various other guidelines issued by Reserve Bank from time to time.</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2. It has been observed in several UCBs that these policies not only lack comprehensive coverage, but also do not require a periodic review. In order to ensure that the loan policy reflects approved internal risk appetite and remains in alignment with the extant regulations, it is advised that the loan policy of the bank shall be reviewed by the Board at least once in a financial year.</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3. The above instructions will come into effect immediately.</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r>
        <w:t>More details can be referred to in the below link.</w:t>
      </w:r>
    </w:p>
    <w:p w:rsidR="002D338D" w:rsidRDefault="002D338D" w:rsidP="002D338D">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18" w:history="1">
        <w:r w:rsidRPr="00735218">
          <w:rPr>
            <w:rStyle w:val="Hyperlink"/>
            <w:rFonts w:ascii="Arial" w:hAnsi="Arial" w:cs="Arial"/>
            <w:bCs/>
            <w:sz w:val="20"/>
            <w:szCs w:val="20"/>
          </w:rPr>
          <w:t>https://www.rbi.org.in/scripts/NotificationUser.aspx?Id=12361&amp;Mode=0</w:t>
        </w:r>
      </w:hyperlink>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pPr>
        <w:spacing w:line="259" w:lineRule="auto"/>
        <w:rPr>
          <w:rFonts w:ascii="Arial" w:hAnsi="Arial" w:cs="Arial"/>
          <w:sz w:val="20"/>
          <w:szCs w:val="20"/>
        </w:rPr>
      </w:pPr>
    </w:p>
    <w:p w:rsidR="002D338D" w:rsidRDefault="002D338D">
      <w:pPr>
        <w:spacing w:line="259" w:lineRule="auto"/>
        <w:rPr>
          <w:rFonts w:ascii="Arial" w:hAnsi="Arial" w:cs="Arial"/>
          <w:sz w:val="20"/>
          <w:szCs w:val="20"/>
        </w:rPr>
      </w:pPr>
    </w:p>
    <w:p w:rsidR="002D338D" w:rsidRDefault="002D338D">
      <w:pPr>
        <w:spacing w:line="259" w:lineRule="auto"/>
        <w:rPr>
          <w:rFonts w:ascii="Arial" w:hAnsi="Arial" w:cs="Arial"/>
          <w:sz w:val="20"/>
          <w:szCs w:val="20"/>
        </w:rPr>
      </w:pPr>
    </w:p>
    <w:p w:rsidR="002D338D" w:rsidRDefault="002D338D">
      <w:pPr>
        <w:spacing w:line="259" w:lineRule="auto"/>
        <w:rPr>
          <w:rFonts w:ascii="Arial" w:hAnsi="Arial" w:cs="Arial"/>
          <w:sz w:val="20"/>
          <w:szCs w:val="20"/>
        </w:rPr>
      </w:pPr>
    </w:p>
    <w:p w:rsidR="002D338D" w:rsidRDefault="002D338D">
      <w:pPr>
        <w:spacing w:line="259" w:lineRule="auto"/>
        <w:rPr>
          <w:rFonts w:ascii="Arial" w:hAnsi="Arial" w:cs="Arial"/>
          <w:sz w:val="20"/>
          <w:szCs w:val="20"/>
        </w:rPr>
      </w:pPr>
    </w:p>
    <w:p w:rsidR="002D338D" w:rsidRPr="00583041" w:rsidRDefault="002D338D" w:rsidP="002D338D">
      <w:pPr>
        <w:spacing w:after="0"/>
        <w:jc w:val="both"/>
        <w:rPr>
          <w:rFonts w:ascii="Arial" w:hAnsi="Arial" w:cs="Arial"/>
          <w:b/>
          <w:sz w:val="20"/>
          <w:szCs w:val="20"/>
        </w:rPr>
      </w:pPr>
      <w:r w:rsidRPr="00583041">
        <w:rPr>
          <w:rFonts w:ascii="Arial" w:hAnsi="Arial" w:cs="Arial"/>
          <w:b/>
          <w:sz w:val="20"/>
          <w:szCs w:val="20"/>
        </w:rPr>
        <w:lastRenderedPageBreak/>
        <w:t>Foreign Exchange Management (Borrowing and Lending) (Amendment) Regulations, 2022</w:t>
      </w:r>
    </w:p>
    <w:p w:rsidR="002D338D" w:rsidRPr="00583041" w:rsidRDefault="002D338D" w:rsidP="002D338D">
      <w:pPr>
        <w:spacing w:after="0"/>
        <w:jc w:val="both"/>
        <w:rPr>
          <w:rFonts w:ascii="Arial" w:hAnsi="Arial" w:cs="Arial"/>
          <w:sz w:val="20"/>
          <w:szCs w:val="20"/>
        </w:rPr>
      </w:pPr>
    </w:p>
    <w:p w:rsidR="002D338D" w:rsidRPr="00583041" w:rsidRDefault="002D338D" w:rsidP="002D338D">
      <w:pPr>
        <w:spacing w:after="0"/>
        <w:jc w:val="both"/>
        <w:rPr>
          <w:rFonts w:ascii="Arial" w:hAnsi="Arial" w:cs="Arial"/>
          <w:sz w:val="20"/>
          <w:szCs w:val="20"/>
        </w:rPr>
      </w:pPr>
      <w:r w:rsidRPr="00583041">
        <w:rPr>
          <w:rFonts w:ascii="Arial" w:hAnsi="Arial" w:cs="Arial"/>
          <w:sz w:val="20"/>
          <w:szCs w:val="20"/>
        </w:rPr>
        <w:t>Reserve Bank of India</w:t>
      </w:r>
    </w:p>
    <w:p w:rsidR="002D338D" w:rsidRPr="00583041" w:rsidRDefault="002D338D" w:rsidP="002D338D">
      <w:pPr>
        <w:spacing w:after="0"/>
        <w:jc w:val="both"/>
        <w:rPr>
          <w:rFonts w:ascii="Arial" w:hAnsi="Arial" w:cs="Arial"/>
          <w:sz w:val="20"/>
          <w:szCs w:val="20"/>
        </w:rPr>
      </w:pPr>
      <w:r w:rsidRPr="00583041">
        <w:rPr>
          <w:rFonts w:ascii="Arial" w:hAnsi="Arial" w:cs="Arial"/>
          <w:sz w:val="20"/>
          <w:szCs w:val="20"/>
        </w:rPr>
        <w:t>Foreign Exchange Department</w:t>
      </w:r>
    </w:p>
    <w:p w:rsidR="002D338D" w:rsidRPr="00583041" w:rsidRDefault="002D338D" w:rsidP="002D338D">
      <w:pPr>
        <w:spacing w:after="0"/>
        <w:jc w:val="both"/>
        <w:rPr>
          <w:rFonts w:ascii="Arial" w:hAnsi="Arial" w:cs="Arial"/>
          <w:sz w:val="20"/>
          <w:szCs w:val="20"/>
        </w:rPr>
      </w:pPr>
      <w:r w:rsidRPr="00583041">
        <w:rPr>
          <w:rFonts w:ascii="Arial" w:hAnsi="Arial" w:cs="Arial"/>
          <w:sz w:val="20"/>
          <w:szCs w:val="20"/>
        </w:rPr>
        <w:t>Central Office</w:t>
      </w:r>
    </w:p>
    <w:p w:rsidR="002D338D" w:rsidRPr="00583041" w:rsidRDefault="002D338D" w:rsidP="002D338D">
      <w:pPr>
        <w:spacing w:after="0"/>
        <w:jc w:val="both"/>
        <w:rPr>
          <w:rFonts w:ascii="Arial" w:hAnsi="Arial" w:cs="Arial"/>
          <w:sz w:val="20"/>
          <w:szCs w:val="20"/>
        </w:rPr>
      </w:pPr>
      <w:r w:rsidRPr="00583041">
        <w:rPr>
          <w:rFonts w:ascii="Arial" w:hAnsi="Arial" w:cs="Arial"/>
          <w:sz w:val="20"/>
          <w:szCs w:val="20"/>
        </w:rPr>
        <w:t>Mumbai</w:t>
      </w:r>
    </w:p>
    <w:p w:rsidR="002D338D" w:rsidRPr="00583041" w:rsidRDefault="002D338D" w:rsidP="002D338D">
      <w:pPr>
        <w:spacing w:after="0"/>
        <w:jc w:val="both"/>
        <w:rPr>
          <w:rFonts w:ascii="Arial" w:hAnsi="Arial" w:cs="Arial"/>
          <w:sz w:val="20"/>
          <w:szCs w:val="20"/>
        </w:rPr>
      </w:pPr>
    </w:p>
    <w:p w:rsidR="002D338D" w:rsidRPr="00583041" w:rsidRDefault="002D338D" w:rsidP="002D338D">
      <w:pPr>
        <w:spacing w:after="0"/>
        <w:jc w:val="both"/>
        <w:rPr>
          <w:rFonts w:ascii="Arial" w:hAnsi="Arial" w:cs="Arial"/>
          <w:sz w:val="20"/>
          <w:szCs w:val="20"/>
        </w:rPr>
      </w:pPr>
      <w:r w:rsidRPr="00583041">
        <w:rPr>
          <w:rFonts w:ascii="Arial" w:hAnsi="Arial" w:cs="Arial"/>
          <w:sz w:val="20"/>
          <w:szCs w:val="20"/>
        </w:rPr>
        <w:t>Notification No. FEMA.3(R)(3)/2022-RB</w:t>
      </w:r>
    </w:p>
    <w:p w:rsidR="002D338D" w:rsidRPr="00583041" w:rsidRDefault="002D338D" w:rsidP="002D338D">
      <w:pPr>
        <w:spacing w:after="0"/>
        <w:jc w:val="both"/>
        <w:rPr>
          <w:rFonts w:ascii="Arial" w:hAnsi="Arial" w:cs="Arial"/>
          <w:sz w:val="20"/>
          <w:szCs w:val="20"/>
        </w:rPr>
      </w:pPr>
    </w:p>
    <w:p w:rsidR="002D338D" w:rsidRPr="00583041" w:rsidRDefault="002D338D" w:rsidP="002D338D">
      <w:pPr>
        <w:spacing w:after="0"/>
        <w:jc w:val="right"/>
        <w:rPr>
          <w:rFonts w:ascii="Arial" w:hAnsi="Arial" w:cs="Arial"/>
          <w:sz w:val="20"/>
          <w:szCs w:val="20"/>
        </w:rPr>
      </w:pPr>
      <w:r w:rsidRPr="00583041">
        <w:rPr>
          <w:rFonts w:ascii="Arial" w:hAnsi="Arial" w:cs="Arial"/>
          <w:sz w:val="20"/>
          <w:szCs w:val="20"/>
        </w:rPr>
        <w:t>July 28, 2022</w:t>
      </w:r>
    </w:p>
    <w:p w:rsidR="002D338D" w:rsidRPr="00583041" w:rsidRDefault="002D338D" w:rsidP="002D338D">
      <w:pPr>
        <w:spacing w:after="0"/>
        <w:jc w:val="both"/>
        <w:rPr>
          <w:rFonts w:ascii="Arial" w:hAnsi="Arial" w:cs="Arial"/>
          <w:sz w:val="20"/>
          <w:szCs w:val="20"/>
        </w:rPr>
      </w:pPr>
    </w:p>
    <w:p w:rsidR="002D338D" w:rsidRPr="00583041" w:rsidRDefault="002D338D" w:rsidP="002D338D">
      <w:pPr>
        <w:spacing w:after="0"/>
        <w:jc w:val="both"/>
        <w:rPr>
          <w:rFonts w:ascii="Arial" w:hAnsi="Arial" w:cs="Arial"/>
          <w:b/>
          <w:sz w:val="20"/>
          <w:szCs w:val="20"/>
        </w:rPr>
      </w:pPr>
      <w:r w:rsidRPr="00583041">
        <w:rPr>
          <w:rFonts w:ascii="Arial" w:hAnsi="Arial" w:cs="Arial"/>
          <w:b/>
          <w:sz w:val="20"/>
          <w:szCs w:val="20"/>
        </w:rPr>
        <w:t>Foreign Exchange Management (Borrowing and Lending) (Amendment) Regulations, 2022</w:t>
      </w:r>
    </w:p>
    <w:p w:rsidR="002D338D" w:rsidRPr="00583041" w:rsidRDefault="002D338D" w:rsidP="002D338D">
      <w:pPr>
        <w:spacing w:after="0"/>
        <w:jc w:val="both"/>
        <w:rPr>
          <w:rFonts w:ascii="Arial" w:hAnsi="Arial" w:cs="Arial"/>
          <w:sz w:val="20"/>
          <w:szCs w:val="20"/>
        </w:rPr>
      </w:pPr>
    </w:p>
    <w:p w:rsidR="002D338D" w:rsidRPr="00583041" w:rsidRDefault="002D338D" w:rsidP="002D338D">
      <w:pPr>
        <w:spacing w:after="0"/>
        <w:jc w:val="both"/>
        <w:rPr>
          <w:rFonts w:ascii="Arial" w:hAnsi="Arial" w:cs="Arial"/>
          <w:sz w:val="20"/>
          <w:szCs w:val="20"/>
        </w:rPr>
      </w:pPr>
      <w:r w:rsidRPr="00583041">
        <w:rPr>
          <w:rFonts w:ascii="Arial" w:hAnsi="Arial" w:cs="Arial"/>
          <w:sz w:val="20"/>
          <w:szCs w:val="20"/>
        </w:rPr>
        <w:t>In exercise of the powers conferred by sub-section (2) of Section 6 and Section 47 of the Foreign Exchange Management Act, 1999 (42 of 1999), the Reserve Bank of India hereby makes the following amendments to the Foreign Exchange Management (Borrowing and Lending) Regulations, 2018 (Notification No. FEMA.3(R)/2018-RB dated December 17, 2018) (hereinafter referred to as 'the Principal Regulations'), namely:</w:t>
      </w:r>
    </w:p>
    <w:p w:rsidR="002D338D" w:rsidRPr="00583041" w:rsidRDefault="002D338D" w:rsidP="002D338D">
      <w:pPr>
        <w:spacing w:after="0"/>
        <w:jc w:val="both"/>
        <w:rPr>
          <w:rFonts w:ascii="Arial" w:hAnsi="Arial" w:cs="Arial"/>
          <w:sz w:val="20"/>
          <w:szCs w:val="20"/>
        </w:rPr>
      </w:pPr>
    </w:p>
    <w:p w:rsidR="002D338D" w:rsidRPr="00583041" w:rsidRDefault="002D338D" w:rsidP="002D338D">
      <w:pPr>
        <w:spacing w:after="0"/>
        <w:jc w:val="both"/>
        <w:rPr>
          <w:rFonts w:ascii="Arial" w:hAnsi="Arial" w:cs="Arial"/>
          <w:sz w:val="20"/>
          <w:szCs w:val="20"/>
        </w:rPr>
      </w:pPr>
      <w:r w:rsidRPr="00583041">
        <w:rPr>
          <w:rFonts w:ascii="Arial" w:hAnsi="Arial" w:cs="Arial"/>
          <w:sz w:val="20"/>
          <w:szCs w:val="20"/>
        </w:rPr>
        <w:t>1. Short Title &amp; Commencement:</w:t>
      </w:r>
    </w:p>
    <w:p w:rsidR="002D338D" w:rsidRPr="00583041" w:rsidRDefault="002D338D" w:rsidP="002D338D">
      <w:pPr>
        <w:spacing w:after="0"/>
        <w:jc w:val="both"/>
        <w:rPr>
          <w:rFonts w:ascii="Arial" w:hAnsi="Arial" w:cs="Arial"/>
          <w:sz w:val="20"/>
          <w:szCs w:val="20"/>
        </w:rPr>
      </w:pPr>
    </w:p>
    <w:p w:rsidR="002D338D" w:rsidRPr="00583041" w:rsidRDefault="002D338D" w:rsidP="002D338D">
      <w:pPr>
        <w:spacing w:after="0"/>
        <w:jc w:val="both"/>
        <w:rPr>
          <w:rFonts w:ascii="Arial" w:hAnsi="Arial" w:cs="Arial"/>
          <w:sz w:val="20"/>
          <w:szCs w:val="20"/>
        </w:rPr>
      </w:pPr>
      <w:r w:rsidRPr="00583041">
        <w:rPr>
          <w:rFonts w:ascii="Arial" w:hAnsi="Arial" w:cs="Arial"/>
          <w:sz w:val="20"/>
          <w:szCs w:val="20"/>
        </w:rPr>
        <w:t>(i) These Regulations may be called the Foreign Exchange Management (Borrowing and Lending) (Third Amendment) Regulations, 2022.</w:t>
      </w:r>
    </w:p>
    <w:p w:rsidR="002D338D" w:rsidRPr="00583041" w:rsidRDefault="002D338D" w:rsidP="002D338D">
      <w:pPr>
        <w:spacing w:after="0"/>
        <w:jc w:val="both"/>
        <w:rPr>
          <w:rFonts w:ascii="Arial" w:hAnsi="Arial" w:cs="Arial"/>
          <w:sz w:val="20"/>
          <w:szCs w:val="20"/>
        </w:rPr>
      </w:pPr>
    </w:p>
    <w:p w:rsidR="002D338D" w:rsidRPr="00583041" w:rsidRDefault="002D338D" w:rsidP="002D338D">
      <w:pPr>
        <w:spacing w:after="0"/>
        <w:jc w:val="both"/>
        <w:rPr>
          <w:rFonts w:ascii="Arial" w:hAnsi="Arial" w:cs="Arial"/>
          <w:sz w:val="20"/>
          <w:szCs w:val="20"/>
        </w:rPr>
      </w:pPr>
      <w:r w:rsidRPr="00583041">
        <w:rPr>
          <w:rFonts w:ascii="Arial" w:hAnsi="Arial" w:cs="Arial"/>
          <w:sz w:val="20"/>
          <w:szCs w:val="20"/>
        </w:rPr>
        <w:t>(ii) They shall come into force from the date of notification in the official gazette.</w:t>
      </w:r>
    </w:p>
    <w:p w:rsidR="002D338D" w:rsidRPr="00583041" w:rsidRDefault="002D338D" w:rsidP="002D338D">
      <w:pPr>
        <w:spacing w:after="0"/>
        <w:jc w:val="both"/>
        <w:rPr>
          <w:rFonts w:ascii="Arial" w:hAnsi="Arial" w:cs="Arial"/>
          <w:sz w:val="20"/>
          <w:szCs w:val="20"/>
        </w:rPr>
      </w:pPr>
    </w:p>
    <w:p w:rsidR="002D338D" w:rsidRPr="00583041" w:rsidRDefault="002D338D" w:rsidP="002D338D">
      <w:pPr>
        <w:spacing w:after="0"/>
        <w:jc w:val="both"/>
        <w:rPr>
          <w:rFonts w:ascii="Arial" w:hAnsi="Arial" w:cs="Arial"/>
          <w:sz w:val="20"/>
          <w:szCs w:val="20"/>
        </w:rPr>
      </w:pPr>
      <w:r w:rsidRPr="00583041">
        <w:rPr>
          <w:rFonts w:ascii="Arial" w:hAnsi="Arial" w:cs="Arial"/>
          <w:sz w:val="20"/>
          <w:szCs w:val="20"/>
        </w:rPr>
        <w:t>2. Amendment to Paragraph 2 of Schedule 1:</w:t>
      </w:r>
    </w:p>
    <w:p w:rsidR="002D338D" w:rsidRPr="00583041" w:rsidRDefault="002D338D" w:rsidP="002D338D">
      <w:pPr>
        <w:spacing w:after="0"/>
        <w:jc w:val="both"/>
        <w:rPr>
          <w:rFonts w:ascii="Arial" w:hAnsi="Arial" w:cs="Arial"/>
          <w:sz w:val="20"/>
          <w:szCs w:val="20"/>
        </w:rPr>
      </w:pPr>
    </w:p>
    <w:p w:rsidR="002D338D" w:rsidRPr="00583041" w:rsidRDefault="002D338D" w:rsidP="002D338D">
      <w:pPr>
        <w:spacing w:after="0"/>
        <w:jc w:val="both"/>
        <w:rPr>
          <w:rFonts w:ascii="Arial" w:hAnsi="Arial" w:cs="Arial"/>
          <w:sz w:val="20"/>
          <w:szCs w:val="20"/>
        </w:rPr>
      </w:pPr>
      <w:r w:rsidRPr="00583041">
        <w:rPr>
          <w:rFonts w:ascii="Arial" w:hAnsi="Arial" w:cs="Arial"/>
          <w:sz w:val="20"/>
          <w:szCs w:val="20"/>
        </w:rPr>
        <w:t>After Paragraph 8 of Schedule 1 to the Principal Regulations, the following shall be added;</w:t>
      </w:r>
    </w:p>
    <w:p w:rsidR="002D338D" w:rsidRPr="00583041" w:rsidRDefault="002D338D" w:rsidP="002D338D">
      <w:pPr>
        <w:spacing w:after="0"/>
        <w:jc w:val="both"/>
        <w:rPr>
          <w:rFonts w:ascii="Arial" w:hAnsi="Arial" w:cs="Arial"/>
          <w:sz w:val="20"/>
          <w:szCs w:val="20"/>
        </w:rPr>
      </w:pPr>
    </w:p>
    <w:p w:rsidR="002D338D" w:rsidRPr="00583041" w:rsidRDefault="002D338D" w:rsidP="002D338D">
      <w:pPr>
        <w:spacing w:after="0"/>
        <w:jc w:val="both"/>
        <w:rPr>
          <w:rFonts w:ascii="Arial" w:hAnsi="Arial" w:cs="Arial"/>
          <w:sz w:val="20"/>
          <w:szCs w:val="20"/>
        </w:rPr>
      </w:pPr>
      <w:r w:rsidRPr="00583041">
        <w:rPr>
          <w:rFonts w:ascii="Arial" w:hAnsi="Arial" w:cs="Arial"/>
          <w:sz w:val="20"/>
          <w:szCs w:val="20"/>
        </w:rPr>
        <w:t>“8A: The limit of USD 750 million or equivalent per financial year is temporarily increased to USD 1500 million or equivalent. This dispensation will be available for ECBs raised till December 31, 2022.”</w:t>
      </w:r>
    </w:p>
    <w:p w:rsidR="002D338D" w:rsidRPr="00583041" w:rsidRDefault="002D338D" w:rsidP="002D338D">
      <w:pPr>
        <w:spacing w:after="0"/>
        <w:jc w:val="both"/>
        <w:rPr>
          <w:rFonts w:ascii="Arial" w:hAnsi="Arial" w:cs="Arial"/>
          <w:sz w:val="20"/>
          <w:szCs w:val="20"/>
        </w:rPr>
      </w:pPr>
    </w:p>
    <w:p w:rsidR="002D338D" w:rsidRPr="00583041" w:rsidRDefault="002D338D" w:rsidP="002D338D">
      <w:pPr>
        <w:spacing w:after="0"/>
        <w:jc w:val="both"/>
        <w:rPr>
          <w:rFonts w:ascii="Arial" w:hAnsi="Arial" w:cs="Arial"/>
          <w:sz w:val="20"/>
          <w:szCs w:val="20"/>
        </w:rPr>
      </w:pPr>
      <w:r w:rsidRPr="00583041">
        <w:rPr>
          <w:rFonts w:ascii="Arial" w:hAnsi="Arial" w:cs="Arial"/>
          <w:sz w:val="20"/>
          <w:szCs w:val="20"/>
        </w:rPr>
        <w:t xml:space="preserve">(Ajay Kumar </w:t>
      </w:r>
      <w:proofErr w:type="spellStart"/>
      <w:r w:rsidRPr="00583041">
        <w:rPr>
          <w:rFonts w:ascii="Arial" w:hAnsi="Arial" w:cs="Arial"/>
          <w:sz w:val="20"/>
          <w:szCs w:val="20"/>
        </w:rPr>
        <w:t>Misra</w:t>
      </w:r>
      <w:proofErr w:type="spellEnd"/>
      <w:r w:rsidRPr="00583041">
        <w:rPr>
          <w:rFonts w:ascii="Arial" w:hAnsi="Arial" w:cs="Arial"/>
          <w:sz w:val="20"/>
          <w:szCs w:val="20"/>
        </w:rPr>
        <w:t>)</w:t>
      </w:r>
    </w:p>
    <w:p w:rsidR="002D338D" w:rsidRDefault="002D338D" w:rsidP="002D338D">
      <w:pPr>
        <w:spacing w:after="0"/>
        <w:jc w:val="both"/>
        <w:rPr>
          <w:rFonts w:ascii="Arial" w:hAnsi="Arial" w:cs="Arial"/>
          <w:sz w:val="20"/>
          <w:szCs w:val="20"/>
        </w:rPr>
      </w:pPr>
      <w:r w:rsidRPr="00583041">
        <w:rPr>
          <w:rFonts w:ascii="Arial" w:hAnsi="Arial" w:cs="Arial"/>
          <w:sz w:val="20"/>
          <w:szCs w:val="20"/>
        </w:rPr>
        <w:t>Chief General Manager-in-charge</w:t>
      </w:r>
    </w:p>
    <w:p w:rsidR="002D338D" w:rsidRDefault="002D338D" w:rsidP="002D338D"/>
    <w:p w:rsidR="002D338D" w:rsidRDefault="002D338D" w:rsidP="002D338D"/>
    <w:p w:rsidR="002D338D" w:rsidRDefault="002D338D" w:rsidP="002D338D">
      <w:r>
        <w:t>More details can be referred to in the below link.</w:t>
      </w:r>
    </w:p>
    <w:p w:rsidR="002D338D" w:rsidRDefault="002D338D" w:rsidP="002D338D">
      <w:pPr>
        <w:rPr>
          <w:rFonts w:ascii="Arial" w:hAnsi="Arial" w:cs="Arial"/>
          <w:sz w:val="20"/>
          <w:szCs w:val="20"/>
        </w:rPr>
      </w:pPr>
      <w:r>
        <w:rPr>
          <w:rFonts w:ascii="Arial" w:hAnsi="Arial" w:cs="Arial"/>
          <w:sz w:val="20"/>
          <w:szCs w:val="20"/>
        </w:rPr>
        <w:t xml:space="preserve">Reference Link: </w:t>
      </w:r>
      <w:hyperlink r:id="rId19" w:anchor=":~:text=%E2%80%9C8A%3A%20The%20limit%20of%20USD,till%20December%2031%2C%202022.%E2%80%9D&amp;text=Foot%20Note%3A%20%2D%20The%20Principal%20Regulations,No" w:history="1">
        <w:r w:rsidRPr="00200311">
          <w:rPr>
            <w:rStyle w:val="Hyperlink"/>
            <w:rFonts w:ascii="Arial" w:hAnsi="Arial" w:cs="Arial"/>
            <w:sz w:val="20"/>
            <w:szCs w:val="20"/>
          </w:rPr>
          <w:t>https://www.rbi.org.in/scripts/FS_Notification.aspx?Id=12377&amp;fn=5&amp;Mode=0#:~:text=%E2%80%9C8A%3A%20The%20limit%20of%20USD,till%20December%2031%2C%202022.%E2%80%9D&amp;text=Foot%20Note%3A%20%2D%20The%20Principal%20Regulations,No</w:t>
        </w:r>
      </w:hyperlink>
      <w:r w:rsidRPr="002A3764">
        <w:rPr>
          <w:rFonts w:ascii="Arial" w:hAnsi="Arial" w:cs="Arial"/>
          <w:sz w:val="20"/>
          <w:szCs w:val="20"/>
        </w:rPr>
        <w:t>.</w:t>
      </w:r>
    </w:p>
    <w:p w:rsidR="002D338D" w:rsidRDefault="002D338D" w:rsidP="002D338D">
      <w:pPr>
        <w:rPr>
          <w:rFonts w:ascii="Arial" w:hAnsi="Arial" w:cs="Arial"/>
          <w:sz w:val="20"/>
          <w:szCs w:val="20"/>
        </w:rPr>
      </w:pPr>
    </w:p>
    <w:p w:rsidR="002D338D" w:rsidRDefault="002D338D" w:rsidP="002D338D">
      <w:pPr>
        <w:rPr>
          <w:rFonts w:ascii="Arial" w:hAnsi="Arial" w:cs="Arial"/>
          <w:sz w:val="20"/>
          <w:szCs w:val="20"/>
        </w:rPr>
      </w:pPr>
    </w:p>
    <w:p w:rsidR="002D338D" w:rsidRDefault="002D338D">
      <w:pPr>
        <w:spacing w:line="259" w:lineRule="auto"/>
        <w:rPr>
          <w:rFonts w:ascii="Arial" w:hAnsi="Arial" w:cs="Arial"/>
          <w:sz w:val="20"/>
          <w:szCs w:val="20"/>
        </w:rPr>
      </w:pPr>
    </w:p>
    <w:p w:rsidR="002D338D" w:rsidRDefault="002D338D">
      <w:pPr>
        <w:spacing w:line="259" w:lineRule="auto"/>
        <w:rPr>
          <w:rFonts w:ascii="Arial" w:hAnsi="Arial" w:cs="Arial"/>
          <w:sz w:val="20"/>
          <w:szCs w:val="20"/>
        </w:rPr>
      </w:pPr>
    </w:p>
    <w:p w:rsidR="002D338D" w:rsidRDefault="002D338D">
      <w:pPr>
        <w:spacing w:line="259" w:lineRule="auto"/>
        <w:rPr>
          <w:rFonts w:ascii="Arial" w:hAnsi="Arial" w:cs="Arial"/>
          <w:sz w:val="20"/>
          <w:szCs w:val="20"/>
        </w:rPr>
      </w:pPr>
    </w:p>
    <w:p w:rsidR="002D338D" w:rsidRDefault="002D338D">
      <w:pPr>
        <w:spacing w:line="259" w:lineRule="auto"/>
        <w:rPr>
          <w:rFonts w:ascii="Arial" w:hAnsi="Arial" w:cs="Arial"/>
          <w:sz w:val="20"/>
          <w:szCs w:val="20"/>
        </w:rPr>
      </w:pPr>
    </w:p>
    <w:p w:rsidR="002D338D" w:rsidRDefault="002D338D">
      <w:pPr>
        <w:spacing w:line="259" w:lineRule="auto"/>
        <w:rPr>
          <w:rFonts w:ascii="Arial" w:hAnsi="Arial" w:cs="Arial"/>
          <w:sz w:val="20"/>
          <w:szCs w:val="20"/>
        </w:rPr>
      </w:pPr>
    </w:p>
    <w:p w:rsidR="00D46755" w:rsidRDefault="00D46755" w:rsidP="00D46755">
      <w:pPr>
        <w:spacing w:line="259" w:lineRule="auto"/>
        <w:rPr>
          <w:rFonts w:ascii="Arial" w:hAnsi="Arial" w:cs="Arial"/>
          <w:sz w:val="20"/>
          <w:szCs w:val="20"/>
        </w:rPr>
      </w:pPr>
    </w:p>
    <w:p w:rsidR="00D46755" w:rsidRDefault="00D46755" w:rsidP="00D46755">
      <w:pPr>
        <w:spacing w:line="259" w:lineRule="auto"/>
        <w:rPr>
          <w:rFonts w:ascii="Arial" w:hAnsi="Arial" w:cs="Arial"/>
          <w:sz w:val="20"/>
          <w:szCs w:val="20"/>
        </w:rPr>
      </w:pPr>
      <w:r>
        <w:rPr>
          <w:rFonts w:ascii="Arial" w:hAnsi="Arial" w:cs="Arial"/>
          <w:b/>
          <w:bCs/>
          <w:color w:val="000000"/>
          <w:sz w:val="20"/>
          <w:szCs w:val="20"/>
        </w:rPr>
        <w:t>Master Circular - Credit facilities to Scheduled Castes (SCs) &amp; Scheduled Tribes (STs)</w:t>
      </w:r>
    </w:p>
    <w:p w:rsidR="00D46755" w:rsidRDefault="00D46755" w:rsidP="00D46755">
      <w:pPr>
        <w:pStyle w:val="NormalWeb"/>
        <w:rPr>
          <w:rFonts w:ascii="Arial" w:hAnsi="Arial" w:cs="Arial"/>
          <w:color w:val="000000"/>
          <w:sz w:val="20"/>
          <w:szCs w:val="20"/>
        </w:rPr>
      </w:pPr>
      <w:r>
        <w:rPr>
          <w:rFonts w:ascii="Arial" w:hAnsi="Arial" w:cs="Arial"/>
          <w:color w:val="000000"/>
          <w:sz w:val="20"/>
          <w:szCs w:val="20"/>
        </w:rPr>
        <w:t>RBI/2022-2023/97</w:t>
      </w:r>
      <w:r>
        <w:rPr>
          <w:rFonts w:ascii="Arial" w:hAnsi="Arial" w:cs="Arial"/>
          <w:color w:val="000000"/>
          <w:sz w:val="20"/>
          <w:szCs w:val="20"/>
        </w:rPr>
        <w:br/>
        <w:t>FIDD.CO.GSSD.BC.No.10/09.09.001/2022-23</w:t>
      </w:r>
    </w:p>
    <w:p w:rsidR="00D46755" w:rsidRDefault="00D46755" w:rsidP="00D46755">
      <w:pPr>
        <w:pStyle w:val="NormalWeb"/>
        <w:jc w:val="right"/>
        <w:rPr>
          <w:rFonts w:ascii="Arial" w:hAnsi="Arial" w:cs="Arial"/>
          <w:color w:val="000000"/>
          <w:sz w:val="20"/>
          <w:szCs w:val="20"/>
        </w:rPr>
      </w:pPr>
      <w:r>
        <w:rPr>
          <w:rFonts w:ascii="Arial" w:hAnsi="Arial" w:cs="Arial"/>
          <w:color w:val="000000"/>
          <w:sz w:val="20"/>
          <w:szCs w:val="20"/>
        </w:rPr>
        <w:t>August 1, 2022</w:t>
      </w:r>
    </w:p>
    <w:p w:rsidR="00D46755" w:rsidRDefault="00D46755" w:rsidP="00D46755">
      <w:pPr>
        <w:pStyle w:val="NormalWeb"/>
        <w:rPr>
          <w:rFonts w:ascii="Arial" w:hAnsi="Arial" w:cs="Arial"/>
          <w:color w:val="000000"/>
          <w:sz w:val="20"/>
          <w:szCs w:val="20"/>
        </w:rPr>
      </w:pPr>
      <w:r>
        <w:rPr>
          <w:rFonts w:ascii="Arial" w:hAnsi="Arial" w:cs="Arial"/>
          <w:color w:val="000000"/>
          <w:sz w:val="20"/>
          <w:szCs w:val="20"/>
        </w:rPr>
        <w:t>The Chairman/ Managing Director / Chief Executive Officer</w:t>
      </w:r>
      <w:r>
        <w:rPr>
          <w:rFonts w:ascii="Arial" w:hAnsi="Arial" w:cs="Arial"/>
          <w:color w:val="000000"/>
          <w:sz w:val="20"/>
          <w:szCs w:val="20"/>
        </w:rPr>
        <w:br/>
        <w:t>All Scheduled Commercial Banks (including Small Finance Banks)</w:t>
      </w:r>
    </w:p>
    <w:p w:rsidR="00D46755" w:rsidRDefault="00D46755" w:rsidP="00D46755">
      <w:pPr>
        <w:pStyle w:val="NormalWeb"/>
        <w:rPr>
          <w:rFonts w:ascii="Arial" w:hAnsi="Arial" w:cs="Arial"/>
          <w:color w:val="000000"/>
          <w:sz w:val="20"/>
          <w:szCs w:val="20"/>
        </w:rPr>
      </w:pPr>
      <w:r>
        <w:rPr>
          <w:rFonts w:ascii="Arial" w:hAnsi="Arial" w:cs="Arial"/>
          <w:color w:val="000000"/>
          <w:sz w:val="20"/>
          <w:szCs w:val="20"/>
        </w:rPr>
        <w:t>Madam/ Dear Sir,</w:t>
      </w:r>
    </w:p>
    <w:p w:rsidR="00D46755" w:rsidRDefault="00D46755" w:rsidP="00D46755">
      <w:pPr>
        <w:pStyle w:val="head"/>
        <w:rPr>
          <w:rFonts w:ascii="Arial" w:hAnsi="Arial" w:cs="Arial"/>
          <w:b/>
          <w:bCs/>
          <w:color w:val="000000"/>
          <w:sz w:val="20"/>
          <w:szCs w:val="20"/>
        </w:rPr>
      </w:pPr>
      <w:r>
        <w:rPr>
          <w:rFonts w:ascii="Arial" w:hAnsi="Arial" w:cs="Arial"/>
          <w:b/>
          <w:bCs/>
          <w:color w:val="000000"/>
          <w:sz w:val="20"/>
          <w:szCs w:val="20"/>
        </w:rPr>
        <w:t>Master Circular - Credit facilities to Scheduled Castes (SCs) &amp; Scheduled Tribes (STs)</w:t>
      </w:r>
    </w:p>
    <w:p w:rsidR="00D46755" w:rsidRDefault="00D46755" w:rsidP="00D46755">
      <w:pPr>
        <w:pStyle w:val="NormalWeb"/>
        <w:rPr>
          <w:rFonts w:ascii="Arial" w:hAnsi="Arial" w:cs="Arial"/>
          <w:color w:val="000000"/>
          <w:sz w:val="20"/>
          <w:szCs w:val="20"/>
        </w:rPr>
      </w:pPr>
      <w:r>
        <w:rPr>
          <w:rFonts w:ascii="Arial" w:hAnsi="Arial" w:cs="Arial"/>
          <w:color w:val="000000"/>
          <w:sz w:val="20"/>
          <w:szCs w:val="20"/>
        </w:rPr>
        <w:t>The Reserve Bank of India has, from time to time, issued a number of guidelines/instructions to banks on credit facilities to Scheduled Castes (SCs) &amp; Scheduled Tribes (STs). The enclosed </w:t>
      </w:r>
      <w:hyperlink r:id="rId20" w:anchor="MC1" w:history="1">
        <w:r>
          <w:rPr>
            <w:rStyle w:val="Hyperlink"/>
            <w:rFonts w:ascii="Arial" w:hAnsi="Arial" w:cs="Arial"/>
            <w:sz w:val="20"/>
            <w:szCs w:val="20"/>
          </w:rPr>
          <w:t>Master Circular</w:t>
        </w:r>
      </w:hyperlink>
      <w:r>
        <w:rPr>
          <w:rFonts w:ascii="Arial" w:hAnsi="Arial" w:cs="Arial"/>
          <w:color w:val="000000"/>
          <w:sz w:val="20"/>
          <w:szCs w:val="20"/>
        </w:rPr>
        <w:t> consolidates the circulars issued by Reserve Bank on the subject till date, as listed in the below points.</w:t>
      </w:r>
    </w:p>
    <w:p w:rsidR="00D46755" w:rsidRPr="00556D17" w:rsidRDefault="00D46755" w:rsidP="00D46755">
      <w:pPr>
        <w:pStyle w:val="NormalWeb"/>
        <w:rPr>
          <w:rFonts w:ascii="Arial" w:hAnsi="Arial" w:cs="Arial"/>
          <w:color w:val="000000"/>
          <w:sz w:val="20"/>
          <w:szCs w:val="20"/>
        </w:rPr>
      </w:pPr>
      <w:r w:rsidRPr="00556D17">
        <w:rPr>
          <w:rFonts w:ascii="Arial" w:hAnsi="Arial" w:cs="Arial"/>
          <w:bCs/>
          <w:color w:val="000000"/>
          <w:sz w:val="20"/>
          <w:szCs w:val="20"/>
        </w:rPr>
        <w:t>1. Planning Process</w:t>
      </w:r>
    </w:p>
    <w:p w:rsidR="00D46755" w:rsidRPr="00556D17" w:rsidRDefault="00D46755" w:rsidP="00D46755">
      <w:pPr>
        <w:pStyle w:val="NormalWeb"/>
        <w:rPr>
          <w:rFonts w:ascii="Arial" w:hAnsi="Arial" w:cs="Arial"/>
          <w:bCs/>
          <w:color w:val="000000"/>
          <w:sz w:val="20"/>
          <w:szCs w:val="20"/>
        </w:rPr>
      </w:pPr>
      <w:r w:rsidRPr="00556D17">
        <w:rPr>
          <w:rFonts w:ascii="Arial" w:hAnsi="Arial" w:cs="Arial"/>
          <w:bCs/>
          <w:color w:val="000000"/>
          <w:sz w:val="20"/>
          <w:szCs w:val="20"/>
        </w:rPr>
        <w:t>2. Role of Banks</w:t>
      </w:r>
    </w:p>
    <w:p w:rsidR="00D46755" w:rsidRPr="00556D17" w:rsidRDefault="00D46755" w:rsidP="00D46755">
      <w:pPr>
        <w:pStyle w:val="NormalWeb"/>
        <w:rPr>
          <w:rFonts w:ascii="Arial" w:hAnsi="Arial" w:cs="Arial"/>
          <w:bCs/>
          <w:color w:val="000000"/>
          <w:sz w:val="20"/>
          <w:szCs w:val="20"/>
        </w:rPr>
      </w:pPr>
      <w:r w:rsidRPr="00556D17">
        <w:rPr>
          <w:rFonts w:ascii="Arial" w:hAnsi="Arial" w:cs="Arial"/>
          <w:bCs/>
          <w:color w:val="000000"/>
          <w:sz w:val="20"/>
          <w:szCs w:val="20"/>
        </w:rPr>
        <w:t>3. Role of SC/ST Development Corporations</w:t>
      </w:r>
    </w:p>
    <w:p w:rsidR="00D46755" w:rsidRPr="00556D17" w:rsidRDefault="00D46755" w:rsidP="00D46755">
      <w:pPr>
        <w:pStyle w:val="NormalWeb"/>
        <w:rPr>
          <w:rFonts w:ascii="Arial" w:hAnsi="Arial" w:cs="Arial"/>
          <w:bCs/>
          <w:color w:val="000000"/>
          <w:sz w:val="20"/>
          <w:szCs w:val="20"/>
        </w:rPr>
      </w:pPr>
      <w:r w:rsidRPr="00556D17">
        <w:rPr>
          <w:rFonts w:ascii="Arial" w:hAnsi="Arial" w:cs="Arial"/>
          <w:bCs/>
          <w:color w:val="000000"/>
          <w:sz w:val="20"/>
          <w:szCs w:val="20"/>
        </w:rPr>
        <w:t>4. Reservations for SC/ST beneficiaries under major Centrally Sponsored Schemes.</w:t>
      </w:r>
    </w:p>
    <w:p w:rsidR="00D46755" w:rsidRPr="00556D17" w:rsidRDefault="00D46755" w:rsidP="00D46755">
      <w:pPr>
        <w:pStyle w:val="NormalWeb"/>
        <w:rPr>
          <w:rFonts w:ascii="Arial" w:hAnsi="Arial" w:cs="Arial"/>
          <w:bCs/>
          <w:color w:val="000000"/>
          <w:sz w:val="20"/>
          <w:szCs w:val="20"/>
        </w:rPr>
      </w:pPr>
      <w:r w:rsidRPr="00556D17">
        <w:rPr>
          <w:rFonts w:ascii="Arial" w:hAnsi="Arial" w:cs="Arial"/>
          <w:bCs/>
          <w:color w:val="000000"/>
          <w:sz w:val="20"/>
          <w:szCs w:val="20"/>
        </w:rPr>
        <w:t>5. Credit Enhancement Guarantee Scheme for Scheduled Castes (CEGSSC)</w:t>
      </w:r>
    </w:p>
    <w:p w:rsidR="00D46755" w:rsidRPr="00556D17" w:rsidRDefault="00D46755" w:rsidP="00D46755">
      <w:pPr>
        <w:pStyle w:val="NormalWeb"/>
        <w:rPr>
          <w:rFonts w:ascii="Arial" w:hAnsi="Arial" w:cs="Arial"/>
          <w:bCs/>
          <w:color w:val="000000"/>
          <w:sz w:val="20"/>
          <w:szCs w:val="20"/>
        </w:rPr>
      </w:pPr>
      <w:r w:rsidRPr="00556D17">
        <w:rPr>
          <w:rFonts w:ascii="Arial" w:hAnsi="Arial" w:cs="Arial"/>
          <w:bCs/>
          <w:color w:val="000000"/>
          <w:sz w:val="20"/>
          <w:szCs w:val="20"/>
        </w:rPr>
        <w:t>6. Monitoring and Review</w:t>
      </w:r>
    </w:p>
    <w:p w:rsidR="00D46755" w:rsidRPr="00556D17" w:rsidRDefault="00D46755" w:rsidP="00D46755">
      <w:pPr>
        <w:pStyle w:val="NormalWeb"/>
        <w:rPr>
          <w:rFonts w:ascii="Arial" w:hAnsi="Arial" w:cs="Arial"/>
          <w:color w:val="000000"/>
          <w:sz w:val="20"/>
          <w:szCs w:val="20"/>
        </w:rPr>
      </w:pPr>
      <w:r w:rsidRPr="00556D17">
        <w:rPr>
          <w:rFonts w:ascii="Arial" w:hAnsi="Arial" w:cs="Arial"/>
          <w:bCs/>
          <w:color w:val="000000"/>
          <w:sz w:val="20"/>
          <w:szCs w:val="20"/>
        </w:rPr>
        <w:t>7. Reporting Requirements</w:t>
      </w:r>
    </w:p>
    <w:p w:rsidR="00D46755" w:rsidRDefault="00D46755" w:rsidP="00D46755">
      <w:pPr>
        <w:pStyle w:val="NormalWeb"/>
        <w:rPr>
          <w:rFonts w:ascii="Arial" w:hAnsi="Arial" w:cs="Arial"/>
          <w:color w:val="000000"/>
          <w:sz w:val="20"/>
          <w:szCs w:val="20"/>
        </w:rPr>
      </w:pPr>
      <w:r>
        <w:rPr>
          <w:rFonts w:ascii="Arial" w:hAnsi="Arial" w:cs="Arial"/>
          <w:color w:val="000000"/>
          <w:sz w:val="20"/>
          <w:szCs w:val="20"/>
        </w:rPr>
        <w:t>Yours faithfully,</w:t>
      </w:r>
    </w:p>
    <w:p w:rsidR="00D46755" w:rsidRDefault="00D46755" w:rsidP="00D46755">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D46755" w:rsidRDefault="00D46755" w:rsidP="00D46755">
      <w:pPr>
        <w:spacing w:line="259" w:lineRule="auto"/>
        <w:rPr>
          <w:rFonts w:ascii="Arial" w:hAnsi="Arial" w:cs="Arial"/>
          <w:sz w:val="20"/>
          <w:szCs w:val="20"/>
        </w:rPr>
      </w:pPr>
    </w:p>
    <w:p w:rsidR="00D46755" w:rsidRDefault="00D46755" w:rsidP="00D46755">
      <w:pPr>
        <w:spacing w:line="259" w:lineRule="auto"/>
        <w:rPr>
          <w:rFonts w:ascii="Arial" w:hAnsi="Arial" w:cs="Arial"/>
          <w:sz w:val="20"/>
          <w:szCs w:val="20"/>
        </w:rPr>
      </w:pPr>
    </w:p>
    <w:p w:rsidR="00D46755" w:rsidRDefault="00D46755" w:rsidP="00D46755">
      <w:pPr>
        <w:spacing w:line="259" w:lineRule="auto"/>
        <w:rPr>
          <w:rFonts w:ascii="Arial" w:hAnsi="Arial" w:cs="Arial"/>
          <w:sz w:val="20"/>
          <w:szCs w:val="20"/>
        </w:rPr>
      </w:pPr>
    </w:p>
    <w:p w:rsidR="00D46755" w:rsidRDefault="00D46755" w:rsidP="00D46755">
      <w:r>
        <w:t>More details can be referred to in the below link.</w:t>
      </w:r>
    </w:p>
    <w:p w:rsidR="00D46755" w:rsidRDefault="00D46755" w:rsidP="00D46755">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21" w:history="1">
        <w:r w:rsidRPr="006865D6">
          <w:rPr>
            <w:rStyle w:val="Hyperlink"/>
            <w:rFonts w:ascii="Arial" w:hAnsi="Arial" w:cs="Arial"/>
            <w:bCs/>
            <w:sz w:val="20"/>
            <w:szCs w:val="20"/>
          </w:rPr>
          <w:t>https://www.rbi.org.in/scripts/NotificationUser.aspx?Id=12365&amp;Mode=0</w:t>
        </w:r>
      </w:hyperlink>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pPr>
        <w:spacing w:line="259" w:lineRule="auto"/>
        <w:rPr>
          <w:rFonts w:ascii="Arial" w:hAnsi="Arial" w:cs="Arial"/>
          <w:sz w:val="20"/>
          <w:szCs w:val="20"/>
        </w:rPr>
      </w:pPr>
    </w:p>
    <w:p w:rsidR="002D338D" w:rsidRDefault="002D338D">
      <w:pPr>
        <w:spacing w:line="259" w:lineRule="auto"/>
        <w:rPr>
          <w:rFonts w:ascii="Arial" w:hAnsi="Arial" w:cs="Arial"/>
          <w:sz w:val="20"/>
          <w:szCs w:val="20"/>
        </w:rPr>
      </w:pPr>
    </w:p>
    <w:p w:rsidR="002D338D" w:rsidRPr="00583041" w:rsidRDefault="002D338D" w:rsidP="002D338D">
      <w:pPr>
        <w:spacing w:line="240" w:lineRule="auto"/>
        <w:rPr>
          <w:rFonts w:ascii="Arial" w:hAnsi="Arial" w:cs="Arial"/>
          <w:sz w:val="20"/>
          <w:szCs w:val="20"/>
        </w:rPr>
      </w:pPr>
      <w:r w:rsidRPr="00583041">
        <w:rPr>
          <w:rFonts w:ascii="Arial" w:hAnsi="Arial" w:cs="Arial"/>
          <w:b/>
          <w:bCs/>
          <w:sz w:val="20"/>
          <w:szCs w:val="20"/>
        </w:rPr>
        <w:t>External Commercial Borrowings (ECB) Policy – Liberalisation Measures</w:t>
      </w:r>
    </w:p>
    <w:tbl>
      <w:tblPr>
        <w:tblW w:w="5000" w:type="pct"/>
        <w:jc w:val="center"/>
        <w:tblCellMar>
          <w:top w:w="15" w:type="dxa"/>
          <w:left w:w="15" w:type="dxa"/>
          <w:bottom w:w="15" w:type="dxa"/>
          <w:right w:w="15" w:type="dxa"/>
        </w:tblCellMar>
        <w:tblLook w:val="04A0" w:firstRow="1" w:lastRow="0" w:firstColumn="1" w:lastColumn="0" w:noHBand="0" w:noVBand="1"/>
      </w:tblPr>
      <w:tblGrid>
        <w:gridCol w:w="9026"/>
      </w:tblGrid>
      <w:tr w:rsidR="002D338D" w:rsidRPr="00583041" w:rsidTr="002D338D">
        <w:trPr>
          <w:jc w:val="center"/>
        </w:trPr>
        <w:tc>
          <w:tcPr>
            <w:tcW w:w="0" w:type="auto"/>
            <w:tcBorders>
              <w:top w:val="nil"/>
              <w:left w:val="nil"/>
              <w:bottom w:val="nil"/>
              <w:right w:val="nil"/>
            </w:tcBorders>
            <w:tcMar>
              <w:top w:w="15" w:type="dxa"/>
              <w:left w:w="45" w:type="dxa"/>
              <w:bottom w:w="15" w:type="dxa"/>
              <w:right w:w="45" w:type="dxa"/>
            </w:tcMar>
            <w:vAlign w:val="center"/>
            <w:hideMark/>
          </w:tcPr>
          <w:p w:rsidR="002D338D" w:rsidRPr="00583041" w:rsidRDefault="002D338D" w:rsidP="002D338D">
            <w:pPr>
              <w:pStyle w:val="NormalWeb"/>
              <w:spacing w:before="0" w:beforeAutospacing="0"/>
              <w:rPr>
                <w:rFonts w:ascii="Arial" w:hAnsi="Arial" w:cs="Arial"/>
                <w:sz w:val="20"/>
                <w:szCs w:val="20"/>
              </w:rPr>
            </w:pPr>
            <w:r w:rsidRPr="00583041">
              <w:rPr>
                <w:rFonts w:ascii="Arial" w:hAnsi="Arial" w:cs="Arial"/>
                <w:sz w:val="20"/>
                <w:szCs w:val="20"/>
              </w:rPr>
              <w:t>RBI/2022-23/98</w:t>
            </w:r>
            <w:r w:rsidRPr="00583041">
              <w:rPr>
                <w:rFonts w:ascii="Arial" w:hAnsi="Arial" w:cs="Arial"/>
                <w:sz w:val="20"/>
                <w:szCs w:val="20"/>
              </w:rPr>
              <w:br/>
              <w:t>A.P. (DIR Series) Circular No. 11</w:t>
            </w:r>
          </w:p>
          <w:p w:rsidR="002D338D" w:rsidRPr="00583041" w:rsidRDefault="002D338D" w:rsidP="002D338D">
            <w:pPr>
              <w:pStyle w:val="NormalWeb"/>
              <w:spacing w:before="0" w:beforeAutospacing="0"/>
              <w:jc w:val="right"/>
              <w:rPr>
                <w:rFonts w:ascii="Arial" w:hAnsi="Arial" w:cs="Arial"/>
                <w:sz w:val="20"/>
                <w:szCs w:val="20"/>
              </w:rPr>
            </w:pPr>
            <w:r w:rsidRPr="00583041">
              <w:rPr>
                <w:rFonts w:ascii="Arial" w:hAnsi="Arial" w:cs="Arial"/>
                <w:sz w:val="20"/>
                <w:szCs w:val="20"/>
              </w:rPr>
              <w:t>August 1, 2022</w:t>
            </w:r>
          </w:p>
          <w:p w:rsidR="002D338D" w:rsidRPr="00583041" w:rsidRDefault="002D338D" w:rsidP="002D338D">
            <w:pPr>
              <w:pStyle w:val="NormalWeb"/>
              <w:spacing w:before="0" w:beforeAutospacing="0" w:after="0" w:afterAutospacing="0"/>
              <w:rPr>
                <w:rFonts w:ascii="Arial" w:hAnsi="Arial" w:cs="Arial"/>
                <w:sz w:val="20"/>
                <w:szCs w:val="20"/>
              </w:rPr>
            </w:pPr>
            <w:r w:rsidRPr="00583041">
              <w:rPr>
                <w:rFonts w:ascii="Arial" w:hAnsi="Arial" w:cs="Arial"/>
                <w:sz w:val="20"/>
                <w:szCs w:val="20"/>
              </w:rPr>
              <w:t>To</w:t>
            </w:r>
          </w:p>
          <w:p w:rsidR="002D338D" w:rsidRPr="00583041" w:rsidRDefault="002D338D" w:rsidP="002D338D">
            <w:pPr>
              <w:pStyle w:val="NormalWeb"/>
              <w:spacing w:before="0" w:beforeAutospacing="0" w:after="0" w:afterAutospacing="0"/>
              <w:rPr>
                <w:rFonts w:ascii="Arial" w:hAnsi="Arial" w:cs="Arial"/>
                <w:sz w:val="20"/>
                <w:szCs w:val="20"/>
              </w:rPr>
            </w:pPr>
            <w:r w:rsidRPr="00583041">
              <w:rPr>
                <w:rFonts w:ascii="Arial" w:hAnsi="Arial" w:cs="Arial"/>
                <w:sz w:val="20"/>
                <w:szCs w:val="20"/>
              </w:rPr>
              <w:t>All Category-I Authorised Dealer Banks</w:t>
            </w:r>
          </w:p>
          <w:p w:rsidR="002D338D" w:rsidRPr="00CE14AF" w:rsidRDefault="002D338D" w:rsidP="002D338D">
            <w:pPr>
              <w:pStyle w:val="NormalWeb"/>
              <w:spacing w:before="0" w:beforeAutospacing="0" w:after="0" w:afterAutospacing="0"/>
              <w:rPr>
                <w:rFonts w:ascii="Arial" w:hAnsi="Arial" w:cs="Arial"/>
                <w:sz w:val="20"/>
                <w:szCs w:val="20"/>
              </w:rPr>
            </w:pPr>
            <w:r w:rsidRPr="00583041">
              <w:rPr>
                <w:rFonts w:ascii="Arial" w:hAnsi="Arial" w:cs="Arial"/>
                <w:sz w:val="20"/>
                <w:szCs w:val="20"/>
              </w:rPr>
              <w:t>Madam / Sir,</w:t>
            </w:r>
          </w:p>
          <w:p w:rsidR="002D338D" w:rsidRPr="00583041" w:rsidRDefault="002D338D" w:rsidP="002D338D">
            <w:pPr>
              <w:pStyle w:val="head"/>
              <w:jc w:val="center"/>
              <w:rPr>
                <w:rFonts w:ascii="Arial" w:hAnsi="Arial" w:cs="Arial"/>
                <w:b/>
                <w:bCs/>
                <w:sz w:val="20"/>
                <w:szCs w:val="20"/>
              </w:rPr>
            </w:pPr>
            <w:r w:rsidRPr="00583041">
              <w:rPr>
                <w:rFonts w:ascii="Arial" w:hAnsi="Arial" w:cs="Arial"/>
                <w:b/>
                <w:bCs/>
                <w:sz w:val="20"/>
                <w:szCs w:val="20"/>
              </w:rPr>
              <w:t>External Commercial Borrowings (ECB) Policy – Liberalisation Measures</w:t>
            </w:r>
          </w:p>
          <w:p w:rsidR="002D338D" w:rsidRPr="00583041" w:rsidRDefault="002D338D" w:rsidP="002D338D">
            <w:pPr>
              <w:pStyle w:val="NormalWeb"/>
              <w:spacing w:before="0" w:beforeAutospacing="0"/>
              <w:rPr>
                <w:rFonts w:ascii="Arial" w:hAnsi="Arial" w:cs="Arial"/>
                <w:sz w:val="20"/>
                <w:szCs w:val="20"/>
              </w:rPr>
            </w:pPr>
            <w:r w:rsidRPr="00583041">
              <w:rPr>
                <w:rFonts w:ascii="Arial" w:hAnsi="Arial" w:cs="Arial"/>
                <w:sz w:val="20"/>
                <w:szCs w:val="20"/>
              </w:rPr>
              <w:t>Attention is invited to paragraph 2.2 of </w:t>
            </w:r>
            <w:hyperlink r:id="rId22" w:tgtFrame="_blank" w:history="1">
              <w:r w:rsidRPr="00583041">
                <w:rPr>
                  <w:rStyle w:val="Hyperlink"/>
                  <w:rFonts w:ascii="Arial" w:hAnsi="Arial" w:cs="Arial"/>
                  <w:sz w:val="20"/>
                  <w:szCs w:val="20"/>
                </w:rPr>
                <w:t>FED Master Direction No.5 on External Commercial Borrowings, Trade Credits and Structured Obligations, dated March 26, 2019</w:t>
              </w:r>
            </w:hyperlink>
            <w:r w:rsidRPr="00583041">
              <w:rPr>
                <w:rFonts w:ascii="Arial" w:hAnsi="Arial" w:cs="Arial"/>
                <w:sz w:val="20"/>
                <w:szCs w:val="20"/>
              </w:rPr>
              <w:t> (as amended from time to time), in terms of which eligible ECB borrowers are allowed to raise ECB up to USD 750 million or equivalent per financial year under the automatic route, and paragraph 2.1.vi. ibid, wherein the all-in-cost ceiling for ECBs has been specified.</w:t>
            </w:r>
          </w:p>
          <w:p w:rsidR="002D338D" w:rsidRPr="00583041" w:rsidRDefault="002D338D" w:rsidP="002D338D">
            <w:pPr>
              <w:pStyle w:val="NormalWeb"/>
              <w:spacing w:before="0" w:beforeAutospacing="0"/>
              <w:rPr>
                <w:rFonts w:ascii="Arial" w:hAnsi="Arial" w:cs="Arial"/>
                <w:sz w:val="20"/>
                <w:szCs w:val="20"/>
              </w:rPr>
            </w:pPr>
            <w:r w:rsidRPr="00583041">
              <w:rPr>
                <w:rFonts w:ascii="Arial" w:hAnsi="Arial" w:cs="Arial"/>
                <w:sz w:val="20"/>
                <w:szCs w:val="20"/>
              </w:rPr>
              <w:t>2. As announced in paragraph five of the </w:t>
            </w:r>
            <w:hyperlink r:id="rId23" w:tgtFrame="_blank" w:history="1">
              <w:r w:rsidRPr="00583041">
                <w:rPr>
                  <w:rStyle w:val="Hyperlink"/>
                  <w:rFonts w:ascii="Arial" w:hAnsi="Arial" w:cs="Arial"/>
                  <w:sz w:val="20"/>
                  <w:szCs w:val="20"/>
                </w:rPr>
                <w:t>press release on “Liberalisation of Forex Flows” dated July 06, 2022</w:t>
              </w:r>
            </w:hyperlink>
            <w:r w:rsidRPr="00583041">
              <w:rPr>
                <w:rFonts w:ascii="Arial" w:hAnsi="Arial" w:cs="Arial"/>
                <w:sz w:val="20"/>
                <w:szCs w:val="20"/>
              </w:rPr>
              <w:t>, it has been decided, in consultation with the Central Government, to:</w:t>
            </w:r>
          </w:p>
          <w:p w:rsidR="002D338D" w:rsidRPr="00583041" w:rsidRDefault="002D338D" w:rsidP="002D338D">
            <w:pPr>
              <w:pStyle w:val="NormalWeb"/>
              <w:spacing w:before="0" w:beforeAutospacing="0"/>
              <w:rPr>
                <w:rFonts w:ascii="Arial" w:hAnsi="Arial" w:cs="Arial"/>
                <w:sz w:val="20"/>
                <w:szCs w:val="20"/>
              </w:rPr>
            </w:pPr>
            <w:r w:rsidRPr="00583041">
              <w:rPr>
                <w:rFonts w:ascii="Arial" w:hAnsi="Arial" w:cs="Arial"/>
                <w:sz w:val="20"/>
                <w:szCs w:val="20"/>
              </w:rPr>
              <w:t>i) increase the automatic route limit from USD 750 million or equivalent to USD 1.5 billion or equivalent.</w:t>
            </w:r>
          </w:p>
          <w:p w:rsidR="002D338D" w:rsidRPr="00583041" w:rsidRDefault="002D338D" w:rsidP="002D338D">
            <w:pPr>
              <w:pStyle w:val="NormalWeb"/>
              <w:spacing w:before="0" w:beforeAutospacing="0"/>
              <w:rPr>
                <w:rFonts w:ascii="Arial" w:hAnsi="Arial" w:cs="Arial"/>
                <w:sz w:val="20"/>
                <w:szCs w:val="20"/>
              </w:rPr>
            </w:pPr>
            <w:r w:rsidRPr="00583041">
              <w:rPr>
                <w:rFonts w:ascii="Arial" w:hAnsi="Arial" w:cs="Arial"/>
                <w:sz w:val="20"/>
                <w:szCs w:val="20"/>
              </w:rPr>
              <w:t>ii) increase the all-in-cost ceiling for ECBs, by 100 bps. The enhanced all-in-cost ceiling shall be available only to eligible borrowers of investment grade rating from Indian Credit Rating Agencies (CRAs). Other eligible borrowers may raise ECB within the existing all-in-cost ceiling, as hitherto.</w:t>
            </w:r>
          </w:p>
          <w:p w:rsidR="002D338D" w:rsidRPr="00583041" w:rsidRDefault="002D338D" w:rsidP="002D338D">
            <w:pPr>
              <w:pStyle w:val="NormalWeb"/>
              <w:spacing w:before="0" w:beforeAutospacing="0"/>
              <w:rPr>
                <w:rFonts w:ascii="Arial" w:hAnsi="Arial" w:cs="Arial"/>
                <w:sz w:val="20"/>
                <w:szCs w:val="20"/>
              </w:rPr>
            </w:pPr>
            <w:r w:rsidRPr="00583041">
              <w:rPr>
                <w:rFonts w:ascii="Arial" w:hAnsi="Arial" w:cs="Arial"/>
                <w:sz w:val="20"/>
                <w:szCs w:val="20"/>
              </w:rPr>
              <w:t>The above relaxations would be available for ECBs to be raised till December 31, 2022.</w:t>
            </w:r>
          </w:p>
          <w:p w:rsidR="002D338D" w:rsidRPr="00583041" w:rsidRDefault="002D338D" w:rsidP="002D338D">
            <w:pPr>
              <w:pStyle w:val="NormalWeb"/>
              <w:spacing w:before="0" w:beforeAutospacing="0"/>
              <w:rPr>
                <w:rFonts w:ascii="Arial" w:hAnsi="Arial" w:cs="Arial"/>
                <w:sz w:val="20"/>
                <w:szCs w:val="20"/>
              </w:rPr>
            </w:pPr>
            <w:r w:rsidRPr="00583041">
              <w:rPr>
                <w:rFonts w:ascii="Arial" w:hAnsi="Arial" w:cs="Arial"/>
                <w:sz w:val="20"/>
                <w:szCs w:val="20"/>
              </w:rPr>
              <w:t>3. AD Category-I banks may bring the contents of this circular to the notice of their constituents and customers.</w:t>
            </w:r>
          </w:p>
          <w:p w:rsidR="002D338D" w:rsidRPr="00583041" w:rsidRDefault="002D338D" w:rsidP="002D338D">
            <w:pPr>
              <w:pStyle w:val="NormalWeb"/>
              <w:spacing w:before="0" w:beforeAutospacing="0"/>
              <w:rPr>
                <w:rFonts w:ascii="Arial" w:hAnsi="Arial" w:cs="Arial"/>
                <w:sz w:val="20"/>
                <w:szCs w:val="20"/>
              </w:rPr>
            </w:pPr>
            <w:r w:rsidRPr="00583041">
              <w:rPr>
                <w:rFonts w:ascii="Arial" w:hAnsi="Arial" w:cs="Arial"/>
                <w:sz w:val="20"/>
                <w:szCs w:val="20"/>
              </w:rPr>
              <w:t>4. The aforesaid Master Direction No. 5, is being updated to reflect these changes.</w:t>
            </w:r>
          </w:p>
          <w:p w:rsidR="002D338D" w:rsidRPr="00583041" w:rsidRDefault="002D338D" w:rsidP="002D338D">
            <w:pPr>
              <w:pStyle w:val="NormalWeb"/>
              <w:spacing w:before="0" w:beforeAutospacing="0"/>
              <w:rPr>
                <w:rFonts w:ascii="Arial" w:hAnsi="Arial" w:cs="Arial"/>
                <w:sz w:val="20"/>
                <w:szCs w:val="20"/>
              </w:rPr>
            </w:pPr>
            <w:r w:rsidRPr="00583041">
              <w:rPr>
                <w:rFonts w:ascii="Arial" w:hAnsi="Arial" w:cs="Arial"/>
                <w:sz w:val="20"/>
                <w:szCs w:val="20"/>
              </w:rPr>
              <w:t>5. Necessary amendments to the relevant regulations have been made through </w:t>
            </w:r>
            <w:r w:rsidRPr="00583041">
              <w:rPr>
                <w:rFonts w:ascii="Arial" w:hAnsi="Arial" w:cs="Arial"/>
                <w:sz w:val="20"/>
                <w:szCs w:val="20"/>
                <w:u w:val="single"/>
              </w:rPr>
              <w:t>the Foreign Exchange Management (Borrowing and Lending) (Amendment) Regulations, 2022, notified vide </w:t>
            </w:r>
            <w:hyperlink r:id="rId24" w:tgtFrame="_blank" w:history="1">
              <w:r w:rsidRPr="00583041">
                <w:rPr>
                  <w:rStyle w:val="Hyperlink"/>
                  <w:rFonts w:ascii="Arial" w:hAnsi="Arial" w:cs="Arial"/>
                  <w:sz w:val="20"/>
                  <w:szCs w:val="20"/>
                </w:rPr>
                <w:t>notification No. FEMA.3(R)(3)/2022-RB dated July 29, 2022</w:t>
              </w:r>
            </w:hyperlink>
            <w:r w:rsidRPr="00583041">
              <w:rPr>
                <w:rFonts w:ascii="Arial" w:hAnsi="Arial" w:cs="Arial"/>
                <w:sz w:val="20"/>
                <w:szCs w:val="20"/>
              </w:rPr>
              <w:t>.</w:t>
            </w:r>
          </w:p>
          <w:p w:rsidR="002D338D" w:rsidRPr="00583041" w:rsidRDefault="002D338D" w:rsidP="002D338D">
            <w:pPr>
              <w:pStyle w:val="NormalWeb"/>
              <w:spacing w:before="0" w:beforeAutospacing="0"/>
              <w:rPr>
                <w:rFonts w:ascii="Arial" w:hAnsi="Arial" w:cs="Arial"/>
                <w:sz w:val="20"/>
                <w:szCs w:val="20"/>
              </w:rPr>
            </w:pPr>
            <w:r w:rsidRPr="00583041">
              <w:rPr>
                <w:rFonts w:ascii="Arial" w:hAnsi="Arial" w:cs="Arial"/>
                <w:sz w:val="20"/>
                <w:szCs w:val="20"/>
              </w:rPr>
              <w:t>6. The directions contained in this circular have been issued under section 10(4) and 11(2) of the Foreign Exchange Management Act, 1999 (42 of 1999) and are without prejudice to permissions/ approvals, if any, required under any other law.</w:t>
            </w:r>
          </w:p>
          <w:p w:rsidR="002D338D" w:rsidRPr="00583041" w:rsidRDefault="002D338D" w:rsidP="002D338D">
            <w:pPr>
              <w:pStyle w:val="NormalWeb"/>
              <w:spacing w:after="0" w:afterAutospacing="0"/>
              <w:rPr>
                <w:rFonts w:ascii="Arial" w:hAnsi="Arial" w:cs="Arial"/>
                <w:sz w:val="20"/>
                <w:szCs w:val="20"/>
              </w:rPr>
            </w:pPr>
            <w:r w:rsidRPr="00583041">
              <w:rPr>
                <w:rFonts w:ascii="Arial" w:hAnsi="Arial" w:cs="Arial"/>
                <w:sz w:val="20"/>
                <w:szCs w:val="20"/>
              </w:rPr>
              <w:t>Yours faithfully,</w:t>
            </w:r>
          </w:p>
          <w:p w:rsidR="002D338D" w:rsidRPr="00583041" w:rsidRDefault="002D338D" w:rsidP="002D338D">
            <w:pPr>
              <w:pStyle w:val="NormalWeb"/>
              <w:rPr>
                <w:rFonts w:ascii="Arial" w:hAnsi="Arial" w:cs="Arial"/>
                <w:sz w:val="20"/>
                <w:szCs w:val="20"/>
              </w:rPr>
            </w:pPr>
            <w:r w:rsidRPr="00583041">
              <w:rPr>
                <w:rFonts w:ascii="Arial" w:hAnsi="Arial" w:cs="Arial"/>
                <w:sz w:val="20"/>
                <w:szCs w:val="20"/>
              </w:rPr>
              <w:t xml:space="preserve">(Ajay Kumar </w:t>
            </w:r>
            <w:proofErr w:type="spellStart"/>
            <w:r w:rsidRPr="00583041">
              <w:rPr>
                <w:rFonts w:ascii="Arial" w:hAnsi="Arial" w:cs="Arial"/>
                <w:sz w:val="20"/>
                <w:szCs w:val="20"/>
              </w:rPr>
              <w:t>Misra</w:t>
            </w:r>
            <w:proofErr w:type="spellEnd"/>
            <w:r w:rsidRPr="00583041">
              <w:rPr>
                <w:rFonts w:ascii="Arial" w:hAnsi="Arial" w:cs="Arial"/>
                <w:sz w:val="20"/>
                <w:szCs w:val="20"/>
              </w:rPr>
              <w:t>)</w:t>
            </w:r>
            <w:r w:rsidRPr="00583041">
              <w:rPr>
                <w:rFonts w:ascii="Arial" w:hAnsi="Arial" w:cs="Arial"/>
                <w:sz w:val="20"/>
                <w:szCs w:val="20"/>
              </w:rPr>
              <w:br/>
              <w:t>Chief General Manager-in-Charge</w:t>
            </w:r>
          </w:p>
        </w:tc>
      </w:tr>
    </w:tbl>
    <w:p w:rsidR="002D338D" w:rsidRDefault="002D338D" w:rsidP="002D338D"/>
    <w:p w:rsidR="002D338D" w:rsidRDefault="002D338D" w:rsidP="002D338D">
      <w:pPr>
        <w:spacing w:after="0"/>
      </w:pPr>
      <w:r>
        <w:t>More details can be referred to in the below link.</w:t>
      </w:r>
    </w:p>
    <w:p w:rsidR="002D338D" w:rsidRDefault="002D338D" w:rsidP="002D338D">
      <w:pPr>
        <w:rPr>
          <w:rFonts w:ascii="Arial" w:hAnsi="Arial" w:cs="Arial"/>
          <w:sz w:val="20"/>
          <w:szCs w:val="20"/>
        </w:rPr>
      </w:pPr>
      <w:r>
        <w:rPr>
          <w:rFonts w:ascii="Arial" w:hAnsi="Arial" w:cs="Arial"/>
          <w:sz w:val="20"/>
          <w:szCs w:val="20"/>
        </w:rPr>
        <w:t xml:space="preserve">Reference Link: </w:t>
      </w:r>
      <w:hyperlink r:id="rId25" w:history="1">
        <w:r w:rsidRPr="00200311">
          <w:rPr>
            <w:rStyle w:val="Hyperlink"/>
            <w:rFonts w:ascii="Arial" w:hAnsi="Arial" w:cs="Arial"/>
            <w:sz w:val="20"/>
            <w:szCs w:val="20"/>
          </w:rPr>
          <w:t>https://www.rbi.org.in/Scripts/NotificationUser.aspx?Id=12366&amp;Mode=0</w:t>
        </w:r>
      </w:hyperlink>
    </w:p>
    <w:p w:rsidR="002D338D" w:rsidRDefault="002D338D">
      <w:pPr>
        <w:spacing w:line="259" w:lineRule="auto"/>
        <w:rPr>
          <w:rFonts w:ascii="Arial" w:hAnsi="Arial" w:cs="Arial"/>
          <w:sz w:val="20"/>
          <w:szCs w:val="20"/>
        </w:rPr>
      </w:pPr>
    </w:p>
    <w:p w:rsidR="002D338D" w:rsidRDefault="002D338D">
      <w:pPr>
        <w:spacing w:line="259" w:lineRule="auto"/>
        <w:rPr>
          <w:rFonts w:ascii="Arial" w:hAnsi="Arial" w:cs="Arial"/>
          <w:sz w:val="20"/>
          <w:szCs w:val="20"/>
        </w:rPr>
      </w:pPr>
    </w:p>
    <w:p w:rsidR="00D46755" w:rsidRDefault="00D46755" w:rsidP="00D46755">
      <w:pPr>
        <w:spacing w:line="259" w:lineRule="auto"/>
        <w:rPr>
          <w:rFonts w:ascii="Arial" w:hAnsi="Arial" w:cs="Arial"/>
          <w:sz w:val="20"/>
          <w:szCs w:val="20"/>
        </w:rPr>
      </w:pPr>
    </w:p>
    <w:p w:rsidR="00D46755" w:rsidRDefault="00D46755" w:rsidP="00D46755">
      <w:pPr>
        <w:pStyle w:val="NormalWeb"/>
        <w:rPr>
          <w:rFonts w:ascii="Arial" w:hAnsi="Arial" w:cs="Arial"/>
          <w:color w:val="000000"/>
          <w:sz w:val="20"/>
          <w:szCs w:val="20"/>
        </w:rPr>
      </w:pPr>
      <w:r>
        <w:rPr>
          <w:rFonts w:ascii="Arial" w:hAnsi="Arial" w:cs="Arial"/>
          <w:b/>
          <w:bCs/>
          <w:color w:val="000000"/>
          <w:sz w:val="20"/>
          <w:szCs w:val="20"/>
        </w:rPr>
        <w:t>Master Circular on Credit Facilities to Minority Communities</w:t>
      </w:r>
    </w:p>
    <w:p w:rsidR="00D46755" w:rsidRDefault="00D46755" w:rsidP="00D46755">
      <w:pPr>
        <w:pStyle w:val="NormalWeb"/>
        <w:rPr>
          <w:rFonts w:ascii="Arial" w:hAnsi="Arial" w:cs="Arial"/>
          <w:color w:val="000000"/>
          <w:sz w:val="20"/>
          <w:szCs w:val="20"/>
        </w:rPr>
      </w:pPr>
      <w:r>
        <w:rPr>
          <w:rFonts w:ascii="Arial" w:hAnsi="Arial" w:cs="Arial"/>
          <w:color w:val="000000"/>
          <w:sz w:val="20"/>
          <w:szCs w:val="20"/>
        </w:rPr>
        <w:t>RBI/2022-23/99</w:t>
      </w:r>
      <w:r>
        <w:rPr>
          <w:rFonts w:ascii="Arial" w:hAnsi="Arial" w:cs="Arial"/>
          <w:color w:val="000000"/>
          <w:sz w:val="20"/>
          <w:szCs w:val="20"/>
        </w:rPr>
        <w:br/>
        <w:t>FIDD.GSSD.BC.No.11/09.10.001/2022-23</w:t>
      </w:r>
    </w:p>
    <w:p w:rsidR="00D46755" w:rsidRDefault="00D46755" w:rsidP="00D46755">
      <w:pPr>
        <w:pStyle w:val="NormalWeb"/>
        <w:jc w:val="right"/>
        <w:rPr>
          <w:rFonts w:ascii="Arial" w:hAnsi="Arial" w:cs="Arial"/>
          <w:color w:val="000000"/>
          <w:sz w:val="20"/>
          <w:szCs w:val="20"/>
        </w:rPr>
      </w:pPr>
      <w:r>
        <w:rPr>
          <w:rFonts w:ascii="Arial" w:hAnsi="Arial" w:cs="Arial"/>
          <w:color w:val="000000"/>
          <w:sz w:val="20"/>
          <w:szCs w:val="20"/>
        </w:rPr>
        <w:t>August 2, 2022</w:t>
      </w:r>
    </w:p>
    <w:p w:rsidR="00D46755" w:rsidRDefault="00D46755" w:rsidP="00D46755">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All Scheduled Commercial Banks</w:t>
      </w:r>
      <w:r>
        <w:rPr>
          <w:rFonts w:ascii="Arial" w:hAnsi="Arial" w:cs="Arial"/>
          <w:color w:val="000000"/>
          <w:sz w:val="20"/>
          <w:szCs w:val="20"/>
        </w:rPr>
        <w:br/>
        <w:t>(excluding RRBs and Foreign Banks with less than 20 branches)</w:t>
      </w:r>
    </w:p>
    <w:p w:rsidR="00D46755" w:rsidRDefault="00D46755" w:rsidP="00D46755">
      <w:pPr>
        <w:pStyle w:val="NormalWeb"/>
        <w:rPr>
          <w:rFonts w:ascii="Arial" w:hAnsi="Arial" w:cs="Arial"/>
          <w:color w:val="000000"/>
          <w:sz w:val="20"/>
          <w:szCs w:val="20"/>
        </w:rPr>
      </w:pPr>
      <w:r>
        <w:rPr>
          <w:rFonts w:ascii="Arial" w:hAnsi="Arial" w:cs="Arial"/>
          <w:color w:val="000000"/>
          <w:sz w:val="20"/>
          <w:szCs w:val="20"/>
        </w:rPr>
        <w:t>Madam/ Dear Sir,</w:t>
      </w:r>
    </w:p>
    <w:p w:rsidR="00D46755" w:rsidRDefault="00D46755" w:rsidP="00D46755">
      <w:pPr>
        <w:pStyle w:val="head"/>
        <w:rPr>
          <w:rFonts w:ascii="Arial" w:hAnsi="Arial" w:cs="Arial"/>
          <w:b/>
          <w:bCs/>
          <w:color w:val="000000"/>
          <w:sz w:val="20"/>
          <w:szCs w:val="20"/>
        </w:rPr>
      </w:pPr>
      <w:r>
        <w:rPr>
          <w:rFonts w:ascii="Arial" w:hAnsi="Arial" w:cs="Arial"/>
          <w:b/>
          <w:bCs/>
          <w:color w:val="000000"/>
          <w:sz w:val="20"/>
          <w:szCs w:val="20"/>
        </w:rPr>
        <w:t>Master Circular on Credit Facilities to Minority Communities</w:t>
      </w:r>
    </w:p>
    <w:p w:rsidR="00D46755" w:rsidRPr="00184108" w:rsidRDefault="00D46755" w:rsidP="00D46755">
      <w:pPr>
        <w:pStyle w:val="NoSpacing"/>
      </w:pPr>
      <w:r>
        <w:t>The Reserve Bank of India has periodically issued guidelines/instructions/directives to banks with regard to providing credit facilities to Minority Communities. The </w:t>
      </w:r>
      <w:hyperlink r:id="rId26" w:anchor="MC" w:history="1">
        <w:r>
          <w:rPr>
            <w:rStyle w:val="Hyperlink"/>
            <w:rFonts w:ascii="Arial" w:hAnsi="Arial" w:cs="Arial"/>
            <w:sz w:val="20"/>
            <w:szCs w:val="20"/>
          </w:rPr>
          <w:t>Master Circular</w:t>
        </w:r>
      </w:hyperlink>
      <w:r>
        <w:t> consolidates the circulars issued by Reserve Bank on the subject till date, on the below points:</w:t>
      </w:r>
    </w:p>
    <w:p w:rsidR="00D46755" w:rsidRDefault="00D46755" w:rsidP="00D46755">
      <w:pPr>
        <w:pStyle w:val="NoSpacing"/>
        <w:rPr>
          <w:bCs/>
        </w:rPr>
      </w:pPr>
    </w:p>
    <w:p w:rsidR="00D46755" w:rsidRPr="00184108" w:rsidRDefault="00D46755" w:rsidP="00D46755">
      <w:pPr>
        <w:pStyle w:val="NoSpacing"/>
      </w:pPr>
      <w:r w:rsidRPr="00184108">
        <w:rPr>
          <w:bCs/>
        </w:rPr>
        <w:t>1. Credit Facilities to Minority Communities</w:t>
      </w:r>
    </w:p>
    <w:p w:rsidR="00D46755" w:rsidRPr="00184108" w:rsidRDefault="00D46755" w:rsidP="00D46755">
      <w:pPr>
        <w:pStyle w:val="NoSpacing"/>
      </w:pPr>
      <w:r w:rsidRPr="00184108">
        <w:rPr>
          <w:bCs/>
        </w:rPr>
        <w:t>2. Definition of Minority Communities</w:t>
      </w:r>
    </w:p>
    <w:p w:rsidR="00D46755" w:rsidRPr="00184108" w:rsidRDefault="00D46755" w:rsidP="00D46755">
      <w:pPr>
        <w:pStyle w:val="NoSpacing"/>
      </w:pPr>
      <w:r w:rsidRPr="00184108">
        <w:rPr>
          <w:bCs/>
        </w:rPr>
        <w:t>3. Creation of Special Cell and designating an exclusive Officer</w:t>
      </w:r>
    </w:p>
    <w:p w:rsidR="00D46755" w:rsidRPr="00184108" w:rsidRDefault="00D46755" w:rsidP="00D46755">
      <w:pPr>
        <w:pStyle w:val="NoSpacing"/>
        <w:rPr>
          <w:bCs/>
        </w:rPr>
      </w:pPr>
      <w:r w:rsidRPr="00184108">
        <w:rPr>
          <w:bCs/>
        </w:rPr>
        <w:t>4. Role of Lead Banks</w:t>
      </w:r>
    </w:p>
    <w:p w:rsidR="00D46755" w:rsidRPr="00184108" w:rsidRDefault="00D46755" w:rsidP="00D46755">
      <w:pPr>
        <w:pStyle w:val="NoSpacing"/>
      </w:pPr>
      <w:r w:rsidRPr="00184108">
        <w:rPr>
          <w:bCs/>
        </w:rPr>
        <w:t>5. Advances under DRI Scheme</w:t>
      </w:r>
    </w:p>
    <w:p w:rsidR="00D46755" w:rsidRPr="00184108" w:rsidRDefault="00D46755" w:rsidP="00D46755">
      <w:pPr>
        <w:pStyle w:val="NoSpacing"/>
      </w:pPr>
      <w:r w:rsidRPr="00184108">
        <w:rPr>
          <w:bCs/>
        </w:rPr>
        <w:t>6. Monitoring</w:t>
      </w:r>
    </w:p>
    <w:p w:rsidR="00D46755" w:rsidRPr="00184108" w:rsidRDefault="00D46755" w:rsidP="00D46755">
      <w:pPr>
        <w:pStyle w:val="NoSpacing"/>
      </w:pPr>
      <w:r w:rsidRPr="00184108">
        <w:rPr>
          <w:bCs/>
        </w:rPr>
        <w:t>7. Training</w:t>
      </w:r>
    </w:p>
    <w:p w:rsidR="00D46755" w:rsidRPr="00184108" w:rsidRDefault="00D46755" w:rsidP="00D46755">
      <w:pPr>
        <w:pStyle w:val="NoSpacing"/>
        <w:rPr>
          <w:bCs/>
        </w:rPr>
      </w:pPr>
      <w:r w:rsidRPr="00184108">
        <w:rPr>
          <w:bCs/>
        </w:rPr>
        <w:t>8 Publicity</w:t>
      </w:r>
    </w:p>
    <w:p w:rsidR="00D46755" w:rsidRPr="00184108" w:rsidRDefault="00D46755" w:rsidP="00D46755">
      <w:pPr>
        <w:pStyle w:val="NoSpacing"/>
      </w:pPr>
      <w:r w:rsidRPr="00184108">
        <w:rPr>
          <w:bCs/>
        </w:rPr>
        <w:t>9. National Minorities Development and Finance Corporation (NMDFC)</w:t>
      </w:r>
    </w:p>
    <w:p w:rsidR="00D46755" w:rsidRPr="00184108" w:rsidRDefault="00D46755" w:rsidP="00D46755">
      <w:pPr>
        <w:pStyle w:val="NoSpacing"/>
      </w:pPr>
      <w:r w:rsidRPr="00184108">
        <w:rPr>
          <w:bCs/>
        </w:rPr>
        <w:t>10. Prime Minister’s New 15 Point Programme for the Welfare of Minorities</w:t>
      </w:r>
    </w:p>
    <w:p w:rsidR="00D46755" w:rsidRDefault="00D46755" w:rsidP="00D46755">
      <w:pPr>
        <w:pStyle w:val="NormalWeb"/>
        <w:rPr>
          <w:rFonts w:ascii="Arial" w:hAnsi="Arial" w:cs="Arial"/>
          <w:color w:val="000000"/>
          <w:sz w:val="20"/>
          <w:szCs w:val="20"/>
        </w:rPr>
      </w:pPr>
    </w:p>
    <w:p w:rsidR="00D46755" w:rsidRDefault="00D46755" w:rsidP="00D46755">
      <w:pPr>
        <w:pStyle w:val="NormalWeb"/>
        <w:rPr>
          <w:rFonts w:ascii="Arial" w:hAnsi="Arial" w:cs="Arial"/>
          <w:color w:val="000000"/>
          <w:sz w:val="20"/>
          <w:szCs w:val="20"/>
        </w:rPr>
      </w:pPr>
      <w:r>
        <w:rPr>
          <w:rFonts w:ascii="Arial" w:hAnsi="Arial" w:cs="Arial"/>
          <w:color w:val="000000"/>
          <w:sz w:val="20"/>
          <w:szCs w:val="20"/>
        </w:rPr>
        <w:t>Yours faithfully,</w:t>
      </w:r>
    </w:p>
    <w:p w:rsidR="00D46755" w:rsidRDefault="00D46755" w:rsidP="00D46755">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D46755" w:rsidRDefault="00D46755" w:rsidP="00D46755">
      <w:pPr>
        <w:spacing w:line="259" w:lineRule="auto"/>
        <w:rPr>
          <w:rFonts w:ascii="Arial" w:hAnsi="Arial" w:cs="Arial"/>
          <w:sz w:val="20"/>
          <w:szCs w:val="20"/>
        </w:rPr>
      </w:pPr>
    </w:p>
    <w:p w:rsidR="00D46755" w:rsidRDefault="00D46755" w:rsidP="00D46755">
      <w:pPr>
        <w:spacing w:line="259" w:lineRule="auto"/>
        <w:rPr>
          <w:rFonts w:ascii="Arial" w:hAnsi="Arial" w:cs="Arial"/>
          <w:sz w:val="20"/>
          <w:szCs w:val="20"/>
        </w:rPr>
      </w:pPr>
    </w:p>
    <w:p w:rsidR="00D46755" w:rsidRDefault="00D46755" w:rsidP="00D46755">
      <w:r>
        <w:t>More details can be referred to in the below link.</w:t>
      </w:r>
    </w:p>
    <w:p w:rsidR="00D46755" w:rsidRDefault="00D46755" w:rsidP="00D46755">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27" w:history="1">
        <w:r w:rsidRPr="006865D6">
          <w:rPr>
            <w:rStyle w:val="Hyperlink"/>
            <w:rFonts w:ascii="Arial" w:hAnsi="Arial" w:cs="Arial"/>
            <w:bCs/>
            <w:sz w:val="20"/>
            <w:szCs w:val="20"/>
          </w:rPr>
          <w:t>https://m.rbi.org.in/scripts/BS_ViewMasCirculardetails.aspx?id=12367</w:t>
        </w:r>
      </w:hyperlink>
    </w:p>
    <w:p w:rsidR="00D46755" w:rsidRDefault="00D46755" w:rsidP="00D46755">
      <w:pPr>
        <w:spacing w:line="259" w:lineRule="auto"/>
        <w:rPr>
          <w:rFonts w:ascii="Arial" w:hAnsi="Arial" w:cs="Arial"/>
          <w:sz w:val="20"/>
          <w:szCs w:val="20"/>
        </w:rPr>
      </w:pPr>
    </w:p>
    <w:p w:rsidR="002D338D" w:rsidRDefault="002D338D">
      <w:pPr>
        <w:spacing w:line="259" w:lineRule="auto"/>
        <w:rPr>
          <w:rFonts w:ascii="Arial" w:hAnsi="Arial" w:cs="Arial"/>
          <w:sz w:val="20"/>
          <w:szCs w:val="20"/>
        </w:rPr>
      </w:pPr>
    </w:p>
    <w:p w:rsidR="002D338D" w:rsidRDefault="002D338D">
      <w:pPr>
        <w:spacing w:line="259" w:lineRule="auto"/>
        <w:rPr>
          <w:rFonts w:ascii="Arial" w:hAnsi="Arial" w:cs="Arial"/>
          <w:sz w:val="20"/>
          <w:szCs w:val="20"/>
        </w:rPr>
      </w:pPr>
    </w:p>
    <w:p w:rsidR="002D338D" w:rsidRDefault="002D338D">
      <w:pPr>
        <w:spacing w:line="259" w:lineRule="auto"/>
        <w:rPr>
          <w:rFonts w:ascii="Arial" w:hAnsi="Arial" w:cs="Arial"/>
          <w:sz w:val="20"/>
          <w:szCs w:val="20"/>
        </w:rPr>
      </w:pPr>
    </w:p>
    <w:p w:rsidR="002D338D" w:rsidRDefault="002D338D">
      <w:pPr>
        <w:spacing w:line="259" w:lineRule="auto"/>
        <w:rPr>
          <w:rFonts w:ascii="Arial" w:hAnsi="Arial" w:cs="Arial"/>
          <w:sz w:val="20"/>
          <w:szCs w:val="20"/>
        </w:rPr>
      </w:pPr>
    </w:p>
    <w:p w:rsidR="00D46755" w:rsidRDefault="00D46755">
      <w:pPr>
        <w:spacing w:line="259" w:lineRule="auto"/>
        <w:rPr>
          <w:rFonts w:ascii="Arial" w:hAnsi="Arial" w:cs="Arial"/>
          <w:sz w:val="20"/>
          <w:szCs w:val="20"/>
        </w:rPr>
      </w:pPr>
    </w:p>
    <w:p w:rsidR="002D338D" w:rsidRDefault="002D338D" w:rsidP="002D338D">
      <w:pPr>
        <w:spacing w:line="259" w:lineRule="auto"/>
        <w:rPr>
          <w:rFonts w:ascii="Arial" w:hAnsi="Arial" w:cs="Arial"/>
          <w:b/>
          <w:bCs/>
          <w:color w:val="000000"/>
          <w:sz w:val="20"/>
          <w:szCs w:val="20"/>
        </w:rPr>
      </w:pPr>
      <w:r>
        <w:rPr>
          <w:rFonts w:ascii="Arial" w:hAnsi="Arial" w:cs="Arial"/>
          <w:b/>
          <w:bCs/>
          <w:color w:val="000000"/>
          <w:sz w:val="20"/>
          <w:szCs w:val="20"/>
        </w:rPr>
        <w:t>Gold Monetization Scheme (GMS), 2015</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RBI/2022-23/100</w:t>
      </w:r>
      <w:r>
        <w:rPr>
          <w:rFonts w:ascii="Arial" w:hAnsi="Arial" w:cs="Arial"/>
          <w:color w:val="000000"/>
          <w:sz w:val="20"/>
          <w:szCs w:val="20"/>
        </w:rPr>
        <w:br/>
        <w:t>DoR.AUT.REC.58/23.67.001/2022-23</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August 04, 2022</w:t>
      </w:r>
    </w:p>
    <w:p w:rsidR="002D338D" w:rsidRDefault="002D338D" w:rsidP="002D338D">
      <w:pPr>
        <w:pStyle w:val="NormalWeb"/>
        <w:spacing w:after="0" w:afterAutospacing="0"/>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(excluding Regional Rural Banks)</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Dear Sir/Madam</w:t>
      </w:r>
    </w:p>
    <w:p w:rsidR="002D338D" w:rsidRDefault="002D338D" w:rsidP="002D338D">
      <w:pPr>
        <w:pStyle w:val="head"/>
        <w:rPr>
          <w:rFonts w:ascii="Arial" w:hAnsi="Arial" w:cs="Arial"/>
          <w:b/>
          <w:bCs/>
          <w:color w:val="000000"/>
          <w:sz w:val="20"/>
          <w:szCs w:val="20"/>
        </w:rPr>
      </w:pPr>
      <w:r>
        <w:rPr>
          <w:rFonts w:ascii="Arial" w:hAnsi="Arial" w:cs="Arial"/>
          <w:b/>
          <w:bCs/>
          <w:color w:val="000000"/>
          <w:sz w:val="20"/>
          <w:szCs w:val="20"/>
        </w:rPr>
        <w:t>Gold Monetization Scheme (GMS), 2015</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In exercise of the powers conferred on the Reserve Bank of India under Section 35A of the Banking Regulation Act, 1949, the RBI makes the following amendments in the Reserve Bank of India (Gold Monetization Scheme, 2015) </w:t>
      </w:r>
      <w:hyperlink r:id="rId28" w:tgtFrame="_blank" w:history="1">
        <w:r>
          <w:rPr>
            <w:rStyle w:val="Hyperlink"/>
            <w:rFonts w:ascii="Arial" w:hAnsi="Arial" w:cs="Arial"/>
            <w:sz w:val="20"/>
            <w:szCs w:val="20"/>
          </w:rPr>
          <w:t>Master Direction No.DBR.IBD.No.45/23.67.003/2015-16 dated October 22, 2015</w:t>
        </w:r>
      </w:hyperlink>
      <w:r>
        <w:rPr>
          <w:rFonts w:ascii="Arial" w:hAnsi="Arial" w:cs="Arial"/>
          <w:color w:val="000000"/>
          <w:sz w:val="20"/>
          <w:szCs w:val="20"/>
        </w:rPr>
        <w:t>, with immediate effect.</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2. The existing sub-para 2.2.</w:t>
      </w:r>
      <w:proofErr w:type="gramStart"/>
      <w:r>
        <w:rPr>
          <w:rFonts w:ascii="Arial" w:hAnsi="Arial" w:cs="Arial"/>
          <w:color w:val="000000"/>
          <w:sz w:val="20"/>
          <w:szCs w:val="20"/>
        </w:rPr>
        <w:t>2.(</w:t>
      </w:r>
      <w:proofErr w:type="gramEnd"/>
      <w:r>
        <w:rPr>
          <w:rFonts w:ascii="Arial" w:hAnsi="Arial" w:cs="Arial"/>
          <w:color w:val="000000"/>
          <w:sz w:val="20"/>
          <w:szCs w:val="20"/>
        </w:rPr>
        <w:t>v) stands deleted (and hence the existing sub-paras 2.2.2.(vi) to 2.2.2.(viii) have accordingly been renumbered). The corresponding provisions have been suitably incorporated in sub-para 2.4.i.(a) and 2.4.i.(b).</w:t>
      </w:r>
    </w:p>
    <w:p w:rsidR="002D338D" w:rsidRDefault="002D338D" w:rsidP="002D338D">
      <w:pPr>
        <w:pStyle w:val="NormalWeb"/>
        <w:spacing w:after="0" w:afterAutospacing="0"/>
        <w:rPr>
          <w:rFonts w:ascii="Arial" w:hAnsi="Arial" w:cs="Arial"/>
          <w:color w:val="000000"/>
          <w:sz w:val="20"/>
          <w:szCs w:val="20"/>
        </w:rPr>
      </w:pPr>
      <w:r>
        <w:rPr>
          <w:rFonts w:ascii="Arial" w:hAnsi="Arial" w:cs="Arial"/>
          <w:color w:val="000000"/>
          <w:sz w:val="20"/>
          <w:szCs w:val="20"/>
        </w:rPr>
        <w:t>3. The sub-para 2.2.</w:t>
      </w:r>
      <w:proofErr w:type="gramStart"/>
      <w:r>
        <w:rPr>
          <w:rFonts w:ascii="Arial" w:hAnsi="Arial" w:cs="Arial"/>
          <w:color w:val="000000"/>
          <w:sz w:val="20"/>
          <w:szCs w:val="20"/>
        </w:rPr>
        <w:t>2.(</w:t>
      </w:r>
      <w:proofErr w:type="gramEnd"/>
      <w:r>
        <w:rPr>
          <w:rFonts w:ascii="Arial" w:hAnsi="Arial" w:cs="Arial"/>
          <w:color w:val="000000"/>
          <w:sz w:val="20"/>
          <w:szCs w:val="20"/>
        </w:rPr>
        <w:t>vii) has been amended to read as follows:</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“Central Government has decided that with effect from November 5, 2016, designated banks will be paid handling charges (including gold purity testing, refining, transportation, storage and any other relevant costs) for a new MLTGD at a flat rate of 1.5% and commission at the rate of 1% of the rupee equivalent of the amount of gold mobilized under the scheme until further notice. In case of renewal of deposits, as banks will not incur any expenses on purity testing, refining, transportation, storage and insurance etc., the banks will only be given a fixed commission of 1% of the rupee equivalent of the amount of gold on the date of renewal towards their administrative and account maintenance cost.”</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4. A new sub-para 2.4 has been inserted (and hence the existing sub-paras 2.4 to 2.10 have accordingly been renumbered) which reads as follows -</w:t>
      </w:r>
    </w:p>
    <w:p w:rsidR="002D338D" w:rsidRDefault="002D338D" w:rsidP="002D338D">
      <w:pPr>
        <w:pStyle w:val="head"/>
        <w:rPr>
          <w:rFonts w:ascii="Arial" w:hAnsi="Arial" w:cs="Arial"/>
          <w:b/>
          <w:bCs/>
          <w:color w:val="000000"/>
          <w:sz w:val="20"/>
          <w:szCs w:val="20"/>
        </w:rPr>
      </w:pPr>
      <w:r>
        <w:rPr>
          <w:rFonts w:ascii="Arial" w:hAnsi="Arial" w:cs="Arial"/>
          <w:b/>
          <w:bCs/>
          <w:color w:val="000000"/>
          <w:sz w:val="20"/>
          <w:szCs w:val="20"/>
        </w:rPr>
        <w:t>Guidelines for Renewal/Redemption of MLTGD</w:t>
      </w:r>
    </w:p>
    <w:p w:rsidR="002D338D" w:rsidRPr="00A410BB" w:rsidRDefault="002D338D" w:rsidP="002D338D">
      <w:pPr>
        <w:pStyle w:val="head"/>
        <w:spacing w:before="0" w:beforeAutospacing="0" w:after="0" w:afterAutospacing="0"/>
        <w:rPr>
          <w:rFonts w:ascii="Arial" w:hAnsi="Arial" w:cs="Arial"/>
          <w:bCs/>
          <w:color w:val="000000"/>
          <w:sz w:val="20"/>
          <w:szCs w:val="20"/>
        </w:rPr>
      </w:pPr>
      <w:r w:rsidRPr="00A410BB">
        <w:rPr>
          <w:rFonts w:ascii="Arial" w:hAnsi="Arial" w:cs="Arial"/>
          <w:bCs/>
          <w:color w:val="000000"/>
          <w:sz w:val="20"/>
          <w:szCs w:val="20"/>
        </w:rPr>
        <w:t>i. General</w:t>
      </w:r>
    </w:p>
    <w:p w:rsidR="002D338D" w:rsidRPr="00A410BB" w:rsidRDefault="002D338D" w:rsidP="002D338D">
      <w:pPr>
        <w:pStyle w:val="head"/>
        <w:spacing w:before="0" w:beforeAutospacing="0" w:after="0" w:afterAutospacing="0"/>
        <w:rPr>
          <w:rFonts w:ascii="Arial" w:hAnsi="Arial" w:cs="Arial"/>
          <w:bCs/>
          <w:color w:val="000000"/>
          <w:sz w:val="20"/>
          <w:szCs w:val="20"/>
        </w:rPr>
      </w:pPr>
      <w:r w:rsidRPr="00A410BB">
        <w:rPr>
          <w:rFonts w:ascii="Arial" w:hAnsi="Arial" w:cs="Arial"/>
          <w:bCs/>
          <w:color w:val="000000"/>
          <w:sz w:val="20"/>
          <w:szCs w:val="20"/>
        </w:rPr>
        <w:t>ii. Redemption in Gold</w:t>
      </w:r>
    </w:p>
    <w:p w:rsidR="002D338D" w:rsidRPr="00A410BB" w:rsidRDefault="002D338D" w:rsidP="002D338D">
      <w:pPr>
        <w:pStyle w:val="head"/>
        <w:spacing w:before="0" w:beforeAutospacing="0" w:after="0" w:afterAutospacing="0"/>
        <w:rPr>
          <w:rFonts w:ascii="Arial" w:hAnsi="Arial" w:cs="Arial"/>
          <w:bCs/>
          <w:color w:val="000000"/>
          <w:sz w:val="20"/>
          <w:szCs w:val="20"/>
        </w:rPr>
      </w:pPr>
      <w:r w:rsidRPr="00A410BB">
        <w:rPr>
          <w:rFonts w:ascii="Arial" w:hAnsi="Arial" w:cs="Arial"/>
          <w:bCs/>
          <w:color w:val="000000"/>
          <w:sz w:val="20"/>
          <w:szCs w:val="20"/>
        </w:rPr>
        <w:t>iii. Redemption in INR – Modalities</w:t>
      </w:r>
    </w:p>
    <w:p w:rsidR="002D338D" w:rsidRPr="00A410BB" w:rsidRDefault="002D338D" w:rsidP="002D338D">
      <w:pPr>
        <w:pStyle w:val="head"/>
        <w:spacing w:before="0" w:beforeAutospacing="0" w:after="0" w:afterAutospacing="0"/>
        <w:rPr>
          <w:rFonts w:ascii="Arial" w:hAnsi="Arial" w:cs="Arial"/>
          <w:bCs/>
          <w:color w:val="000000"/>
          <w:sz w:val="20"/>
          <w:szCs w:val="20"/>
        </w:rPr>
      </w:pPr>
      <w:r w:rsidRPr="00A410BB">
        <w:rPr>
          <w:rFonts w:ascii="Arial" w:hAnsi="Arial" w:cs="Arial"/>
          <w:bCs/>
          <w:color w:val="000000"/>
          <w:sz w:val="20"/>
          <w:szCs w:val="20"/>
        </w:rPr>
        <w:t>iv. Renewal of Deposit – Modalities</w:t>
      </w:r>
    </w:p>
    <w:p w:rsidR="002D338D" w:rsidRPr="00A410BB" w:rsidRDefault="002D338D" w:rsidP="002D338D">
      <w:pPr>
        <w:pStyle w:val="head"/>
        <w:spacing w:before="0" w:beforeAutospacing="0"/>
        <w:rPr>
          <w:rFonts w:ascii="Arial" w:hAnsi="Arial" w:cs="Arial"/>
          <w:bCs/>
          <w:color w:val="000000"/>
          <w:sz w:val="20"/>
          <w:szCs w:val="20"/>
        </w:rPr>
      </w:pPr>
      <w:r w:rsidRPr="00A410BB">
        <w:rPr>
          <w:rFonts w:ascii="Arial" w:hAnsi="Arial" w:cs="Arial"/>
          <w:bCs/>
          <w:color w:val="000000"/>
          <w:sz w:val="20"/>
          <w:szCs w:val="20"/>
        </w:rPr>
        <w:t>v. Partial Renewal and Partial Redemption in gold/INR – Modalities</w:t>
      </w:r>
    </w:p>
    <w:p w:rsidR="002D338D" w:rsidRDefault="002D338D" w:rsidP="002D338D">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2D338D" w:rsidRDefault="002D338D" w:rsidP="002D338D">
      <w:pPr>
        <w:pStyle w:val="NormalWeb"/>
        <w:rPr>
          <w:rFonts w:ascii="Arial" w:hAnsi="Arial" w:cs="Arial"/>
          <w:color w:val="000000"/>
          <w:sz w:val="20"/>
          <w:szCs w:val="20"/>
        </w:rPr>
      </w:pPr>
    </w:p>
    <w:p w:rsidR="002D338D" w:rsidRDefault="002D338D" w:rsidP="002D338D">
      <w:r>
        <w:t>More details can be referred to in the below link.</w:t>
      </w:r>
    </w:p>
    <w:p w:rsidR="002D338D" w:rsidRDefault="002D338D" w:rsidP="002D338D">
      <w:pPr>
        <w:spacing w:line="259" w:lineRule="auto"/>
        <w:rPr>
          <w:rStyle w:val="Hyperlink"/>
          <w:rFonts w:ascii="Arial" w:hAnsi="Arial" w:cs="Arial"/>
          <w:bCs/>
          <w:sz w:val="20"/>
          <w:szCs w:val="20"/>
        </w:rPr>
      </w:pPr>
      <w:r>
        <w:rPr>
          <w:rFonts w:ascii="Arial" w:hAnsi="Arial" w:cs="Arial"/>
          <w:bCs/>
          <w:color w:val="000000"/>
          <w:sz w:val="20"/>
          <w:szCs w:val="20"/>
        </w:rPr>
        <w:t xml:space="preserve">Reference Link: </w:t>
      </w:r>
      <w:hyperlink r:id="rId29" w:history="1">
        <w:r w:rsidRPr="006865D6">
          <w:rPr>
            <w:rStyle w:val="Hyperlink"/>
            <w:rFonts w:ascii="Arial" w:hAnsi="Arial" w:cs="Arial"/>
            <w:bCs/>
            <w:sz w:val="20"/>
            <w:szCs w:val="20"/>
          </w:rPr>
          <w:t>https://www.rbi.org.in/scripts/NotificationUser.aspx?Id=12368&amp;Mode=0</w:t>
        </w:r>
      </w:hyperlink>
    </w:p>
    <w:p w:rsidR="002D338D" w:rsidRDefault="002D338D" w:rsidP="002D338D">
      <w:pPr>
        <w:spacing w:line="259" w:lineRule="auto"/>
        <w:rPr>
          <w:rStyle w:val="Hyperlink"/>
          <w:rFonts w:ascii="Arial" w:hAnsi="Arial" w:cs="Arial"/>
          <w:bCs/>
          <w:sz w:val="20"/>
          <w:szCs w:val="20"/>
        </w:rPr>
      </w:pPr>
    </w:p>
    <w:p w:rsidR="002D338D" w:rsidRDefault="002D338D" w:rsidP="002D338D">
      <w:pPr>
        <w:spacing w:line="259" w:lineRule="auto"/>
        <w:rPr>
          <w:rFonts w:ascii="Arial" w:hAnsi="Arial" w:cs="Arial"/>
          <w:b/>
          <w:bCs/>
          <w:color w:val="000000"/>
          <w:sz w:val="20"/>
          <w:szCs w:val="20"/>
        </w:rPr>
      </w:pPr>
      <w:r>
        <w:rPr>
          <w:rFonts w:ascii="Arial" w:hAnsi="Arial" w:cs="Arial"/>
          <w:b/>
          <w:bCs/>
          <w:color w:val="000000"/>
          <w:sz w:val="20"/>
          <w:szCs w:val="20"/>
        </w:rPr>
        <w:t>Outsourcing of Financial Services - Responsibilities of regulated entities employing Recovery Agents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RBI/2022-23/108</w:t>
      </w:r>
      <w:r>
        <w:rPr>
          <w:rFonts w:ascii="Arial" w:hAnsi="Arial" w:cs="Arial"/>
          <w:color w:val="000000"/>
          <w:sz w:val="20"/>
          <w:szCs w:val="20"/>
        </w:rPr>
        <w:br/>
        <w:t>DOR.ORG.REC.65/21.04.158/2022-23</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August 12, 2022</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Madam/ Sir,</w:t>
      </w:r>
    </w:p>
    <w:p w:rsidR="002D338D" w:rsidRDefault="002D338D" w:rsidP="002D338D">
      <w:pPr>
        <w:pStyle w:val="head"/>
        <w:rPr>
          <w:rFonts w:ascii="Arial" w:hAnsi="Arial" w:cs="Arial"/>
          <w:b/>
          <w:bCs/>
          <w:color w:val="000000"/>
          <w:sz w:val="20"/>
          <w:szCs w:val="20"/>
        </w:rPr>
      </w:pPr>
      <w:r>
        <w:rPr>
          <w:rFonts w:ascii="Arial" w:hAnsi="Arial" w:cs="Arial"/>
          <w:b/>
          <w:bCs/>
          <w:color w:val="000000"/>
          <w:sz w:val="20"/>
          <w:szCs w:val="20"/>
        </w:rPr>
        <w:t>Outsourcing of Financial Services - Responsibilities of regulated entities employing Recovery Agents</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The Reserve Bank of India has from time to time advised regulated entities (REs) that the ultimate responsibility for their outsourced activities vests with them and they are, therefore, responsible for the actions of their service providers including Recovery Agents (hereafter referred to as ‘agents’).</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2. It has been observed that the agents employed by REs have been deviating from the extant instructions governing the outsourcing of financial services. In view of concerns arising from the activities of these agents, it is advised that the REs shall strictly ensure that they or their agents do not resort to intimidation or harassment of any kind, either verbal or physical, against any person in their debt collection efforts, including acts intended to humiliate publicly or intrude upon the privacy of the debtors' family members, referees and friends, sending inappropriate messages either on mobile or through social media, making threatening and/ or anonymous calls, persistently</w:t>
      </w:r>
      <w:hyperlink r:id="rId30" w:anchor="F1" w:history="1">
        <w:r>
          <w:rPr>
            <w:rStyle w:val="Hyperlink"/>
            <w:rFonts w:ascii="Arial" w:hAnsi="Arial" w:cs="Arial"/>
            <w:sz w:val="15"/>
            <w:szCs w:val="15"/>
            <w:vertAlign w:val="superscript"/>
          </w:rPr>
          <w:t>1</w:t>
        </w:r>
      </w:hyperlink>
      <w:r>
        <w:rPr>
          <w:rFonts w:ascii="Arial" w:hAnsi="Arial" w:cs="Arial"/>
          <w:color w:val="000000"/>
          <w:sz w:val="20"/>
          <w:szCs w:val="20"/>
        </w:rPr>
        <w:t> calling the borrower and/ or calling the borrower before 8:00 a.m. and after 7:00 p.m. for recovery of overdue loans, making false and misleading representations, etc.</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3. The instructions contained in para 2 above shall supplement and be read in conjunction with the existing guidelines/directions issued by the Reserve Bank of India, as amended from time to time, including those tabulated in </w:t>
      </w:r>
      <w:hyperlink r:id="rId31" w:anchor="AN" w:history="1">
        <w:r>
          <w:rPr>
            <w:rStyle w:val="Hyperlink"/>
            <w:rFonts w:ascii="Arial" w:hAnsi="Arial" w:cs="Arial"/>
            <w:sz w:val="20"/>
            <w:szCs w:val="20"/>
          </w:rPr>
          <w:t>Annex</w:t>
        </w:r>
      </w:hyperlink>
      <w:r>
        <w:rPr>
          <w:rFonts w:ascii="Arial" w:hAnsi="Arial" w:cs="Arial"/>
          <w:color w:val="000000"/>
          <w:sz w:val="20"/>
          <w:szCs w:val="20"/>
        </w:rPr>
        <w:t>.</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4. Any violation in this regard by REs will be viewed seriously.</w:t>
      </w:r>
    </w:p>
    <w:p w:rsidR="002D338D" w:rsidRDefault="002D338D" w:rsidP="002D338D">
      <w:pPr>
        <w:pStyle w:val="head"/>
        <w:rPr>
          <w:rFonts w:ascii="Arial" w:hAnsi="Arial" w:cs="Arial"/>
          <w:b/>
          <w:bCs/>
          <w:color w:val="000000"/>
          <w:sz w:val="20"/>
          <w:szCs w:val="20"/>
        </w:rPr>
      </w:pPr>
      <w:r>
        <w:rPr>
          <w:rFonts w:ascii="Arial" w:hAnsi="Arial" w:cs="Arial"/>
          <w:b/>
          <w:bCs/>
          <w:color w:val="000000"/>
          <w:sz w:val="20"/>
          <w:szCs w:val="20"/>
        </w:rPr>
        <w:t>Applicability</w:t>
      </w:r>
    </w:p>
    <w:p w:rsidR="002D338D" w:rsidRDefault="002D338D" w:rsidP="002D33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5. This circular shall apply to the following REs:</w:t>
      </w:r>
    </w:p>
    <w:p w:rsidR="002D338D" w:rsidRDefault="002D338D" w:rsidP="002D338D">
      <w:pPr>
        <w:pStyle w:val="NormalWeb"/>
        <w:numPr>
          <w:ilvl w:val="0"/>
          <w:numId w:val="28"/>
        </w:numPr>
        <w:spacing w:before="0" w:beforeAutospacing="0"/>
        <w:ind w:left="0"/>
        <w:rPr>
          <w:rFonts w:ascii="Arial" w:hAnsi="Arial" w:cs="Arial"/>
          <w:color w:val="000000"/>
          <w:sz w:val="20"/>
          <w:szCs w:val="20"/>
        </w:rPr>
      </w:pPr>
      <w:r>
        <w:rPr>
          <w:rFonts w:ascii="Arial" w:hAnsi="Arial" w:cs="Arial"/>
          <w:color w:val="000000"/>
          <w:sz w:val="20"/>
          <w:szCs w:val="20"/>
        </w:rPr>
        <w:t>All Commercial Banks (including Local Area Banks, Regional Rural Banks, and Small Finance Banks) excluding Payments Banks;</w:t>
      </w:r>
    </w:p>
    <w:p w:rsidR="002D338D" w:rsidRDefault="002D338D" w:rsidP="002D338D">
      <w:pPr>
        <w:pStyle w:val="NormalWeb"/>
        <w:numPr>
          <w:ilvl w:val="0"/>
          <w:numId w:val="28"/>
        </w:numPr>
        <w:ind w:left="0"/>
        <w:rPr>
          <w:rFonts w:ascii="Arial" w:hAnsi="Arial" w:cs="Arial"/>
          <w:color w:val="000000"/>
          <w:sz w:val="20"/>
          <w:szCs w:val="20"/>
        </w:rPr>
      </w:pPr>
      <w:r>
        <w:rPr>
          <w:rFonts w:ascii="Arial" w:hAnsi="Arial" w:cs="Arial"/>
          <w:color w:val="000000"/>
          <w:sz w:val="20"/>
          <w:szCs w:val="20"/>
        </w:rPr>
        <w:t xml:space="preserve">All All-India Financial Institutions (viz.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p>
    <w:p w:rsidR="002D338D" w:rsidRDefault="002D338D" w:rsidP="002D338D">
      <w:pPr>
        <w:pStyle w:val="NormalWeb"/>
        <w:numPr>
          <w:ilvl w:val="0"/>
          <w:numId w:val="28"/>
        </w:numPr>
        <w:ind w:left="0"/>
        <w:rPr>
          <w:rFonts w:ascii="Arial" w:hAnsi="Arial" w:cs="Arial"/>
          <w:color w:val="000000"/>
          <w:sz w:val="20"/>
          <w:szCs w:val="20"/>
        </w:rPr>
      </w:pPr>
      <w:r>
        <w:rPr>
          <w:rFonts w:ascii="Arial" w:hAnsi="Arial" w:cs="Arial"/>
          <w:color w:val="000000"/>
          <w:sz w:val="20"/>
          <w:szCs w:val="20"/>
        </w:rPr>
        <w:t>All Non-Banking Financial Companies including Housing Finance Companies;</w:t>
      </w:r>
    </w:p>
    <w:p w:rsidR="002D338D" w:rsidRDefault="002D338D" w:rsidP="002D338D">
      <w:pPr>
        <w:pStyle w:val="NormalWeb"/>
        <w:numPr>
          <w:ilvl w:val="0"/>
          <w:numId w:val="28"/>
        </w:numPr>
        <w:ind w:left="0"/>
        <w:rPr>
          <w:rFonts w:ascii="Arial" w:hAnsi="Arial" w:cs="Arial"/>
          <w:color w:val="000000"/>
          <w:sz w:val="20"/>
          <w:szCs w:val="20"/>
        </w:rPr>
      </w:pPr>
      <w:r>
        <w:rPr>
          <w:rFonts w:ascii="Arial" w:hAnsi="Arial" w:cs="Arial"/>
          <w:color w:val="000000"/>
          <w:sz w:val="20"/>
          <w:szCs w:val="20"/>
        </w:rPr>
        <w:t>All Primary (Urban) Co-operative Banks, State Co-operative Banks, and District Central Co-operative Banks; and</w:t>
      </w:r>
    </w:p>
    <w:p w:rsidR="002D338D" w:rsidRDefault="002D338D" w:rsidP="002D338D">
      <w:pPr>
        <w:pStyle w:val="NormalWeb"/>
        <w:numPr>
          <w:ilvl w:val="0"/>
          <w:numId w:val="28"/>
        </w:numPr>
        <w:ind w:left="0"/>
        <w:rPr>
          <w:rFonts w:ascii="Arial" w:hAnsi="Arial" w:cs="Arial"/>
          <w:color w:val="000000"/>
          <w:sz w:val="20"/>
          <w:szCs w:val="20"/>
        </w:rPr>
      </w:pPr>
      <w:r>
        <w:rPr>
          <w:rFonts w:ascii="Arial" w:hAnsi="Arial" w:cs="Arial"/>
          <w:color w:val="000000"/>
          <w:sz w:val="20"/>
          <w:szCs w:val="20"/>
        </w:rPr>
        <w:t>All Asset Reconstruction Companies.</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6. This circular shall not apply to microfinance loans covered under </w:t>
      </w:r>
      <w:hyperlink r:id="rId32" w:tgtFrame="_blank" w:history="1">
        <w:r>
          <w:rPr>
            <w:rStyle w:val="Hyperlink"/>
            <w:rFonts w:ascii="Arial" w:hAnsi="Arial" w:cs="Arial"/>
            <w:sz w:val="20"/>
            <w:szCs w:val="20"/>
          </w:rPr>
          <w:t>‘Master Direction – Reserve Bank of India (Regulatory Framework for Microfinance Loans) Directions, 2022’, dated March 14, 2022</w:t>
        </w:r>
      </w:hyperlink>
      <w:r>
        <w:rPr>
          <w:rFonts w:ascii="Arial" w:hAnsi="Arial" w:cs="Arial"/>
          <w:color w:val="000000"/>
          <w:sz w:val="20"/>
          <w:szCs w:val="20"/>
        </w:rPr>
        <w:t>.</w:t>
      </w:r>
    </w:p>
    <w:p w:rsidR="002D338D" w:rsidRDefault="002D338D" w:rsidP="002D338D">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spacing w:before="0" w:beforeAutospacing="0"/>
        <w:rPr>
          <w:rFonts w:ascii="Arial" w:hAnsi="Arial" w:cs="Arial"/>
          <w:color w:val="000000"/>
          <w:sz w:val="20"/>
          <w:szCs w:val="20"/>
        </w:rPr>
      </w:pPr>
      <w:r>
        <w:rPr>
          <w:rFonts w:ascii="Arial" w:hAnsi="Arial" w:cs="Arial"/>
          <w:color w:val="000000"/>
          <w:sz w:val="20"/>
          <w:szCs w:val="20"/>
        </w:rPr>
        <w:t>(Sunil T. S. Nair)</w:t>
      </w:r>
      <w:r>
        <w:rPr>
          <w:rFonts w:ascii="Arial" w:hAnsi="Arial" w:cs="Arial"/>
          <w:color w:val="000000"/>
          <w:sz w:val="20"/>
          <w:szCs w:val="20"/>
        </w:rPr>
        <w:br/>
        <w:t>Chief General Manager</w:t>
      </w:r>
    </w:p>
    <w:p w:rsidR="002D338D" w:rsidRDefault="002D338D" w:rsidP="002D338D">
      <w:pPr>
        <w:spacing w:before="240" w:after="0"/>
      </w:pPr>
    </w:p>
    <w:p w:rsidR="002D338D" w:rsidRDefault="002D338D" w:rsidP="002D338D">
      <w:pPr>
        <w:spacing w:after="0"/>
      </w:pPr>
      <w:r>
        <w:t>More details can be referred to in the below link.</w:t>
      </w:r>
    </w:p>
    <w:p w:rsidR="002D338D" w:rsidRDefault="002D338D" w:rsidP="002D338D">
      <w:pPr>
        <w:pStyle w:val="NormalWeb"/>
        <w:spacing w:before="0" w:beforeAutospacing="0"/>
        <w:rPr>
          <w:rFonts w:ascii="Arial" w:hAnsi="Arial" w:cs="Arial"/>
          <w:bCs/>
          <w:color w:val="000000"/>
          <w:sz w:val="20"/>
          <w:szCs w:val="20"/>
        </w:rPr>
      </w:pPr>
      <w:r>
        <w:rPr>
          <w:rFonts w:ascii="Arial" w:hAnsi="Arial" w:cs="Arial"/>
          <w:bCs/>
          <w:color w:val="000000"/>
          <w:sz w:val="20"/>
          <w:szCs w:val="20"/>
        </w:rPr>
        <w:lastRenderedPageBreak/>
        <w:t xml:space="preserve">Reference Link: </w:t>
      </w:r>
      <w:hyperlink r:id="rId33" w:anchor=":~:text=The%20Reserve%20Bank%20of%20India,to%20as%20'agents" w:history="1">
        <w:r w:rsidRPr="006865D6">
          <w:rPr>
            <w:rStyle w:val="Hyperlink"/>
            <w:rFonts w:ascii="Arial" w:hAnsi="Arial" w:cs="Arial"/>
            <w:bCs/>
            <w:sz w:val="20"/>
            <w:szCs w:val="20"/>
          </w:rPr>
          <w:t>https://rbi.org.in/scripts/FS_Notification.aspx?Id=12378&amp;fn=2&amp;Mode=0#:~:text=The%20Reserve%20Bank%20of%20India,to%20as%20'agents</w:t>
        </w:r>
      </w:hyperlink>
      <w:r w:rsidRPr="00DE6119">
        <w:rPr>
          <w:rFonts w:ascii="Arial" w:hAnsi="Arial" w:cs="Arial"/>
          <w:bCs/>
          <w:color w:val="000000"/>
          <w:sz w:val="20"/>
          <w:szCs w:val="20"/>
        </w:rPr>
        <w:t>').</w:t>
      </w:r>
    </w:p>
    <w:p w:rsidR="002D338D" w:rsidRDefault="002D338D" w:rsidP="002D338D">
      <w:pPr>
        <w:rPr>
          <w:rFonts w:ascii="Arial" w:hAnsi="Arial" w:cs="Arial"/>
          <w:b/>
          <w:bCs/>
          <w:color w:val="000000"/>
          <w:sz w:val="20"/>
          <w:szCs w:val="20"/>
        </w:rPr>
      </w:pPr>
      <w:r>
        <w:rPr>
          <w:rFonts w:ascii="Arial" w:hAnsi="Arial" w:cs="Arial"/>
          <w:b/>
          <w:bCs/>
          <w:color w:val="000000"/>
          <w:sz w:val="20"/>
          <w:szCs w:val="20"/>
        </w:rPr>
        <w:t>Foreign Exchange Management (Overseas Investment) Regulations, 2022</w:t>
      </w:r>
    </w:p>
    <w:p w:rsidR="002D338D" w:rsidRDefault="002D338D" w:rsidP="002D338D">
      <w:pPr>
        <w:pStyle w:val="head"/>
        <w:jc w:val="both"/>
        <w:rPr>
          <w:rFonts w:ascii="Arial" w:hAnsi="Arial" w:cs="Arial"/>
          <w:b/>
          <w:bCs/>
          <w:color w:val="000000"/>
          <w:sz w:val="20"/>
          <w:szCs w:val="20"/>
        </w:rPr>
      </w:pPr>
      <w:r>
        <w:rPr>
          <w:rFonts w:ascii="Arial" w:hAnsi="Arial" w:cs="Arial"/>
          <w:b/>
          <w:bCs/>
          <w:color w:val="000000"/>
          <w:sz w:val="20"/>
          <w:szCs w:val="20"/>
        </w:rPr>
        <w:t>No. FEMA 400/2022-RB</w:t>
      </w:r>
    </w:p>
    <w:p w:rsidR="002D338D" w:rsidRDefault="002D338D" w:rsidP="002D338D">
      <w:pPr>
        <w:pStyle w:val="head"/>
        <w:jc w:val="right"/>
        <w:rPr>
          <w:rFonts w:ascii="Arial" w:hAnsi="Arial" w:cs="Arial"/>
          <w:b/>
          <w:bCs/>
          <w:color w:val="000000"/>
          <w:sz w:val="20"/>
          <w:szCs w:val="20"/>
        </w:rPr>
      </w:pPr>
      <w:r>
        <w:rPr>
          <w:rFonts w:ascii="Arial" w:hAnsi="Arial" w:cs="Arial"/>
          <w:b/>
          <w:bCs/>
          <w:color w:val="000000"/>
          <w:sz w:val="20"/>
          <w:szCs w:val="20"/>
        </w:rPr>
        <w:t>August 22, 2022</w:t>
      </w:r>
    </w:p>
    <w:p w:rsidR="002D338D" w:rsidRDefault="002D338D" w:rsidP="002D338D">
      <w:pPr>
        <w:pStyle w:val="head"/>
        <w:jc w:val="center"/>
        <w:rPr>
          <w:rFonts w:ascii="Arial" w:hAnsi="Arial" w:cs="Arial"/>
          <w:b/>
          <w:bCs/>
          <w:color w:val="000000"/>
          <w:sz w:val="20"/>
          <w:szCs w:val="20"/>
        </w:rPr>
      </w:pPr>
      <w:r>
        <w:rPr>
          <w:rFonts w:ascii="Arial" w:hAnsi="Arial" w:cs="Arial"/>
          <w:b/>
          <w:bCs/>
          <w:color w:val="000000"/>
          <w:sz w:val="20"/>
          <w:szCs w:val="20"/>
        </w:rPr>
        <w:t>Foreign Exchange Management (Overseas Investment) Regulations, 2022</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 xml:space="preserve">In exercise of the powers conferred by sub-section (1) and clause (a) of sub-section (2) of section 47 of the Foreign Exchange Management Act, 1999 (42 of 1999), the Reserve Bank hereby makes the following regulations, </w:t>
      </w:r>
      <w:proofErr w:type="gramStart"/>
      <w:r>
        <w:rPr>
          <w:rFonts w:ascii="Arial" w:hAnsi="Arial" w:cs="Arial"/>
          <w:color w:val="000000"/>
          <w:sz w:val="20"/>
          <w:szCs w:val="20"/>
        </w:rPr>
        <w:t>namely:–</w:t>
      </w:r>
      <w:proofErr w:type="gramEnd"/>
    </w:p>
    <w:p w:rsidR="002D338D" w:rsidRDefault="002D338D" w:rsidP="002D338D">
      <w:pPr>
        <w:pStyle w:val="NormalWeb"/>
        <w:jc w:val="both"/>
        <w:rPr>
          <w:rFonts w:ascii="Arial" w:hAnsi="Arial" w:cs="Arial"/>
          <w:color w:val="000000"/>
          <w:sz w:val="20"/>
          <w:szCs w:val="20"/>
        </w:rPr>
      </w:pPr>
      <w:r>
        <w:rPr>
          <w:rStyle w:val="head1"/>
          <w:rFonts w:ascii="Arial" w:hAnsi="Arial" w:cs="Arial"/>
          <w:b/>
          <w:bCs/>
          <w:color w:val="000000"/>
          <w:sz w:val="20"/>
          <w:szCs w:val="20"/>
        </w:rPr>
        <w:t xml:space="preserve">1. Short title and </w:t>
      </w:r>
      <w:proofErr w:type="gramStart"/>
      <w:r>
        <w:rPr>
          <w:rStyle w:val="head1"/>
          <w:rFonts w:ascii="Arial" w:hAnsi="Arial" w:cs="Arial"/>
          <w:b/>
          <w:bCs/>
          <w:color w:val="000000"/>
          <w:sz w:val="20"/>
          <w:szCs w:val="20"/>
        </w:rPr>
        <w:t>commencement.–</w:t>
      </w:r>
      <w:proofErr w:type="gramEnd"/>
      <w:r>
        <w:rPr>
          <w:rFonts w:ascii="Arial" w:hAnsi="Arial" w:cs="Arial"/>
          <w:color w:val="000000"/>
          <w:sz w:val="20"/>
          <w:szCs w:val="20"/>
        </w:rPr>
        <w:t> (1) These regulations may be called the Foreign Exchange Management (Overseas Investment) Regulations, 2022.</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(2) They shall come into force on the date of their publication in the </w:t>
      </w:r>
      <w:hyperlink r:id="rId34" w:tgtFrame="_blank" w:history="1">
        <w:r>
          <w:rPr>
            <w:rStyle w:val="Hyperlink"/>
            <w:rFonts w:ascii="Arial" w:hAnsi="Arial" w:cs="Arial"/>
            <w:sz w:val="20"/>
            <w:szCs w:val="20"/>
          </w:rPr>
          <w:t>Official Gazette</w:t>
        </w:r>
      </w:hyperlink>
      <w:r>
        <w:rPr>
          <w:rFonts w:ascii="Arial" w:hAnsi="Arial" w:cs="Arial"/>
          <w:color w:val="000000"/>
          <w:sz w:val="20"/>
          <w:szCs w:val="20"/>
        </w:rPr>
        <w:t>.</w:t>
      </w:r>
    </w:p>
    <w:p w:rsidR="002D338D" w:rsidRDefault="002D338D" w:rsidP="002D338D">
      <w:pPr>
        <w:pStyle w:val="NormalWeb"/>
        <w:jc w:val="both"/>
        <w:rPr>
          <w:rFonts w:ascii="Arial" w:hAnsi="Arial" w:cs="Arial"/>
          <w:color w:val="000000"/>
          <w:sz w:val="20"/>
          <w:szCs w:val="20"/>
        </w:rPr>
      </w:pPr>
      <w:r>
        <w:rPr>
          <w:rStyle w:val="head1"/>
          <w:rFonts w:ascii="Arial" w:hAnsi="Arial" w:cs="Arial"/>
          <w:b/>
          <w:bCs/>
          <w:color w:val="000000"/>
          <w:sz w:val="20"/>
          <w:szCs w:val="20"/>
        </w:rPr>
        <w:t xml:space="preserve">2. </w:t>
      </w:r>
      <w:proofErr w:type="gramStart"/>
      <w:r>
        <w:rPr>
          <w:rStyle w:val="head1"/>
          <w:rFonts w:ascii="Arial" w:hAnsi="Arial" w:cs="Arial"/>
          <w:b/>
          <w:bCs/>
          <w:color w:val="000000"/>
          <w:sz w:val="20"/>
          <w:szCs w:val="20"/>
        </w:rPr>
        <w:t>Definitions.–</w:t>
      </w:r>
      <w:proofErr w:type="gramEnd"/>
      <w:r>
        <w:rPr>
          <w:rFonts w:ascii="Arial" w:hAnsi="Arial" w:cs="Arial"/>
          <w:color w:val="000000"/>
          <w:sz w:val="20"/>
          <w:szCs w:val="20"/>
        </w:rPr>
        <w:t> (1) In these regulations, unless the context otherwise requires,–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(a) “Act” means the Foreign Exchange Management Act, 1999 (42 of 1999);</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(b) “debt instruments” shall have the same meaning as assigned to it in the </w:t>
      </w:r>
      <w:hyperlink r:id="rId35" w:tgtFrame="_blank" w:history="1">
        <w:r>
          <w:rPr>
            <w:rStyle w:val="Hyperlink"/>
            <w:rFonts w:ascii="Arial" w:hAnsi="Arial" w:cs="Arial"/>
            <w:sz w:val="20"/>
            <w:szCs w:val="20"/>
          </w:rPr>
          <w:t>Foreign Exchange Management (Overseas Investment) Rules, 2022</w:t>
        </w:r>
      </w:hyperlink>
      <w:r>
        <w:rPr>
          <w:rFonts w:ascii="Arial" w:hAnsi="Arial" w:cs="Arial"/>
          <w:color w:val="000000"/>
          <w:sz w:val="20"/>
          <w:szCs w:val="20"/>
        </w:rPr>
        <w:t>;</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(2) The words and expressions used but not defined in these regulations shall have the meanings respectively assigned to them in the Act or the </w:t>
      </w:r>
      <w:hyperlink r:id="rId36" w:tgtFrame="_blank" w:history="1">
        <w:r>
          <w:rPr>
            <w:rStyle w:val="Hyperlink"/>
            <w:rFonts w:ascii="Arial" w:hAnsi="Arial" w:cs="Arial"/>
            <w:sz w:val="20"/>
            <w:szCs w:val="20"/>
          </w:rPr>
          <w:t>Foreign Exchange Management (Overseas Investment) Rules, 2022</w:t>
        </w:r>
      </w:hyperlink>
      <w:r>
        <w:rPr>
          <w:rFonts w:ascii="Arial" w:hAnsi="Arial" w:cs="Arial"/>
          <w:color w:val="000000"/>
          <w:sz w:val="20"/>
          <w:szCs w:val="20"/>
        </w:rPr>
        <w:t>.</w:t>
      </w:r>
    </w:p>
    <w:p w:rsidR="002D338D" w:rsidRPr="005D5DB2" w:rsidRDefault="002D338D" w:rsidP="002D338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3. Financial commitment by Indian entity by modes other than equity capital</w:t>
      </w:r>
    </w:p>
    <w:p w:rsidR="002D338D" w:rsidRPr="005D5DB2" w:rsidRDefault="002D338D" w:rsidP="002D338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4. Financial commitment by Indian entity by way of debt</w:t>
      </w:r>
    </w:p>
    <w:p w:rsidR="002D338D" w:rsidRPr="005D5DB2" w:rsidRDefault="002D338D" w:rsidP="002D338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5. Financial commitment by way of guarantee</w:t>
      </w:r>
    </w:p>
    <w:p w:rsidR="002D338D" w:rsidRPr="005D5DB2" w:rsidRDefault="002D338D" w:rsidP="002D338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6. Financial commitment by way of pledge or charge</w:t>
      </w:r>
    </w:p>
    <w:p w:rsidR="002D338D" w:rsidRPr="005D5DB2" w:rsidRDefault="002D338D" w:rsidP="002D338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7. Acquisition or transfer by way of deferred payment</w:t>
      </w:r>
    </w:p>
    <w:p w:rsidR="002D338D" w:rsidRPr="005D5DB2" w:rsidRDefault="002D338D" w:rsidP="002D338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8. Mode of payment</w:t>
      </w:r>
    </w:p>
    <w:p w:rsidR="002D338D" w:rsidRPr="005D5DB2" w:rsidRDefault="002D338D" w:rsidP="002D338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9. Obligations of person resident in India</w:t>
      </w:r>
    </w:p>
    <w:p w:rsidR="002D338D" w:rsidRPr="005D5DB2" w:rsidRDefault="002D338D" w:rsidP="002D338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10. Reporting requirements for Overseas Investment</w:t>
      </w:r>
    </w:p>
    <w:p w:rsidR="002D338D" w:rsidRPr="005D5DB2" w:rsidRDefault="002D338D" w:rsidP="002D338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11. Delay in reporting</w:t>
      </w:r>
    </w:p>
    <w:p w:rsidR="002D338D" w:rsidRPr="005D5DB2" w:rsidRDefault="002D338D" w:rsidP="002D338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12. Restriction on further financial commitment or transfer</w:t>
      </w:r>
    </w:p>
    <w:p w:rsidR="002D338D" w:rsidRDefault="002D338D" w:rsidP="002D338D">
      <w:pPr>
        <w:pStyle w:val="NormalWeb"/>
        <w:rPr>
          <w:rFonts w:ascii="Arial" w:hAnsi="Arial" w:cs="Arial"/>
          <w:color w:val="000000"/>
          <w:sz w:val="20"/>
          <w:szCs w:val="20"/>
        </w:rPr>
      </w:pP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 xml:space="preserve">(Ajay Kumar </w:t>
      </w:r>
      <w:proofErr w:type="spellStart"/>
      <w:r>
        <w:rPr>
          <w:rFonts w:ascii="Arial" w:hAnsi="Arial" w:cs="Arial"/>
          <w:color w:val="000000"/>
          <w:sz w:val="20"/>
          <w:szCs w:val="20"/>
        </w:rPr>
        <w:t>Misra</w:t>
      </w:r>
      <w:proofErr w:type="spellEnd"/>
      <w:r>
        <w:rPr>
          <w:rFonts w:ascii="Arial" w:hAnsi="Arial" w:cs="Arial"/>
          <w:color w:val="000000"/>
          <w:sz w:val="20"/>
          <w:szCs w:val="20"/>
        </w:rPr>
        <w:t>)</w:t>
      </w:r>
      <w:r>
        <w:rPr>
          <w:rFonts w:ascii="Arial" w:hAnsi="Arial" w:cs="Arial"/>
          <w:color w:val="000000"/>
          <w:sz w:val="20"/>
          <w:szCs w:val="20"/>
        </w:rPr>
        <w:br/>
        <w:t>Chief General Manager-in-Charge</w:t>
      </w:r>
    </w:p>
    <w:p w:rsidR="002D338D" w:rsidRDefault="002D338D" w:rsidP="002D338D"/>
    <w:p w:rsidR="002D338D" w:rsidRDefault="002D338D" w:rsidP="002D338D"/>
    <w:p w:rsidR="002D338D" w:rsidRDefault="002D338D" w:rsidP="002D338D">
      <w:r>
        <w:t>More details can be referred to in the below link.</w:t>
      </w:r>
    </w:p>
    <w:p w:rsidR="002D338D" w:rsidRDefault="002D338D" w:rsidP="002D338D">
      <w:pPr>
        <w:rPr>
          <w:rFonts w:ascii="Arial" w:hAnsi="Arial" w:cs="Arial"/>
          <w:sz w:val="20"/>
          <w:szCs w:val="20"/>
        </w:rPr>
      </w:pPr>
      <w:r>
        <w:rPr>
          <w:rFonts w:ascii="Arial" w:hAnsi="Arial" w:cs="Arial"/>
          <w:sz w:val="20"/>
          <w:szCs w:val="20"/>
        </w:rPr>
        <w:t xml:space="preserve">Reference Link: </w:t>
      </w:r>
      <w:hyperlink r:id="rId37" w:history="1">
        <w:r w:rsidRPr="00200311">
          <w:rPr>
            <w:rStyle w:val="Hyperlink"/>
            <w:rFonts w:ascii="Arial" w:hAnsi="Arial" w:cs="Arial"/>
            <w:sz w:val="20"/>
            <w:szCs w:val="20"/>
          </w:rPr>
          <w:t>https://www.rbi.org.in/scripts/NotificationUser.aspx?Id=12380&amp;Mode=0</w:t>
        </w:r>
      </w:hyperlink>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Pr="00435B25" w:rsidRDefault="002D338D" w:rsidP="002D338D">
      <w:pPr>
        <w:rPr>
          <w:rFonts w:ascii="Arial" w:hAnsi="Arial" w:cs="Arial"/>
          <w:b/>
          <w:bCs/>
          <w:color w:val="000000"/>
          <w:sz w:val="20"/>
          <w:szCs w:val="20"/>
        </w:rPr>
      </w:pPr>
      <w:r w:rsidRPr="00435B25">
        <w:rPr>
          <w:rFonts w:ascii="Arial" w:hAnsi="Arial" w:cs="Arial"/>
          <w:b/>
          <w:bCs/>
          <w:color w:val="000000"/>
          <w:sz w:val="20"/>
          <w:szCs w:val="20"/>
        </w:rPr>
        <w:t>Foreign Exchange Management (Overseas Investment) Directions, 2022</w:t>
      </w:r>
    </w:p>
    <w:p w:rsidR="002D338D" w:rsidRPr="00435B25" w:rsidRDefault="002D338D" w:rsidP="002D338D">
      <w:pPr>
        <w:pStyle w:val="NormalWeb"/>
        <w:jc w:val="both"/>
        <w:rPr>
          <w:rFonts w:ascii="Arial" w:hAnsi="Arial" w:cs="Arial"/>
          <w:color w:val="000000"/>
          <w:sz w:val="20"/>
          <w:szCs w:val="20"/>
        </w:rPr>
      </w:pPr>
      <w:r w:rsidRPr="00435B25">
        <w:rPr>
          <w:rFonts w:ascii="Arial" w:hAnsi="Arial" w:cs="Arial"/>
          <w:color w:val="000000"/>
          <w:sz w:val="20"/>
          <w:szCs w:val="20"/>
        </w:rPr>
        <w:t>RBI/2022-2023/110</w:t>
      </w:r>
      <w:r w:rsidRPr="00435B25">
        <w:rPr>
          <w:rFonts w:ascii="Arial" w:hAnsi="Arial" w:cs="Arial"/>
          <w:color w:val="000000"/>
          <w:sz w:val="20"/>
          <w:szCs w:val="20"/>
        </w:rPr>
        <w:br/>
        <w:t>A.P. (DIR Series) Circular No.12</w:t>
      </w:r>
    </w:p>
    <w:p w:rsidR="002D338D" w:rsidRPr="00435B25" w:rsidRDefault="002D338D" w:rsidP="002D338D">
      <w:pPr>
        <w:pStyle w:val="NormalWeb"/>
        <w:jc w:val="right"/>
        <w:rPr>
          <w:rFonts w:ascii="Arial" w:hAnsi="Arial" w:cs="Arial"/>
          <w:color w:val="000000"/>
          <w:sz w:val="20"/>
          <w:szCs w:val="20"/>
        </w:rPr>
      </w:pPr>
      <w:r w:rsidRPr="00435B25">
        <w:rPr>
          <w:rFonts w:ascii="Arial" w:hAnsi="Arial" w:cs="Arial"/>
          <w:color w:val="000000"/>
          <w:sz w:val="20"/>
          <w:szCs w:val="20"/>
        </w:rPr>
        <w:t>August 22, 2022</w:t>
      </w:r>
    </w:p>
    <w:p w:rsidR="002D338D" w:rsidRPr="00435B25" w:rsidRDefault="002D338D" w:rsidP="002D338D">
      <w:pPr>
        <w:pStyle w:val="NormalWeb"/>
        <w:spacing w:before="0" w:beforeAutospacing="0" w:after="0" w:afterAutospacing="0"/>
        <w:jc w:val="both"/>
        <w:rPr>
          <w:rFonts w:ascii="Arial" w:hAnsi="Arial" w:cs="Arial"/>
          <w:color w:val="000000"/>
          <w:sz w:val="20"/>
          <w:szCs w:val="20"/>
        </w:rPr>
      </w:pPr>
      <w:r w:rsidRPr="00435B25">
        <w:rPr>
          <w:rFonts w:ascii="Arial" w:hAnsi="Arial" w:cs="Arial"/>
          <w:color w:val="000000"/>
          <w:sz w:val="20"/>
          <w:szCs w:val="20"/>
        </w:rPr>
        <w:t>All Category – I Authorised Dealer Banks</w:t>
      </w:r>
    </w:p>
    <w:p w:rsidR="002D338D" w:rsidRPr="00435B25" w:rsidRDefault="002D338D" w:rsidP="002D338D">
      <w:pPr>
        <w:pStyle w:val="NormalWeb"/>
        <w:spacing w:before="0" w:beforeAutospacing="0" w:after="0" w:afterAutospacing="0"/>
        <w:jc w:val="both"/>
        <w:rPr>
          <w:rFonts w:ascii="Arial" w:hAnsi="Arial" w:cs="Arial"/>
          <w:color w:val="000000"/>
          <w:sz w:val="20"/>
          <w:szCs w:val="20"/>
        </w:rPr>
      </w:pPr>
      <w:r w:rsidRPr="00435B25">
        <w:rPr>
          <w:rFonts w:ascii="Arial" w:hAnsi="Arial" w:cs="Arial"/>
          <w:color w:val="000000"/>
          <w:sz w:val="20"/>
          <w:szCs w:val="20"/>
        </w:rPr>
        <w:t>Madam/Sir</w:t>
      </w:r>
    </w:p>
    <w:p w:rsidR="002D338D" w:rsidRPr="00435B25" w:rsidRDefault="002D338D" w:rsidP="002D338D">
      <w:pPr>
        <w:pStyle w:val="head"/>
        <w:jc w:val="center"/>
        <w:rPr>
          <w:rFonts w:ascii="Arial" w:hAnsi="Arial" w:cs="Arial"/>
          <w:b/>
          <w:bCs/>
          <w:color w:val="000000"/>
          <w:sz w:val="20"/>
          <w:szCs w:val="20"/>
        </w:rPr>
      </w:pPr>
      <w:r w:rsidRPr="00435B25">
        <w:rPr>
          <w:rFonts w:ascii="Arial" w:hAnsi="Arial" w:cs="Arial"/>
          <w:b/>
          <w:bCs/>
          <w:color w:val="000000"/>
          <w:sz w:val="20"/>
          <w:szCs w:val="20"/>
        </w:rPr>
        <w:t>Foreign Exchange Management (Overseas Investment) Directions, 2022</w:t>
      </w:r>
    </w:p>
    <w:p w:rsidR="002D338D" w:rsidRPr="00435B25" w:rsidRDefault="002D338D" w:rsidP="002D338D">
      <w:pPr>
        <w:pStyle w:val="NormalWeb"/>
        <w:jc w:val="both"/>
        <w:rPr>
          <w:rFonts w:ascii="Arial" w:hAnsi="Arial" w:cs="Arial"/>
          <w:color w:val="000000"/>
          <w:sz w:val="20"/>
          <w:szCs w:val="20"/>
        </w:rPr>
      </w:pPr>
      <w:r w:rsidRPr="00435B25">
        <w:rPr>
          <w:rFonts w:ascii="Arial" w:hAnsi="Arial" w:cs="Arial"/>
          <w:color w:val="000000"/>
          <w:sz w:val="20"/>
          <w:szCs w:val="20"/>
        </w:rPr>
        <w:t xml:space="preserve">Overseas investments by </w:t>
      </w:r>
      <w:proofErr w:type="gramStart"/>
      <w:r w:rsidRPr="00435B25">
        <w:rPr>
          <w:rFonts w:ascii="Arial" w:hAnsi="Arial" w:cs="Arial"/>
          <w:color w:val="000000"/>
          <w:sz w:val="20"/>
          <w:szCs w:val="20"/>
        </w:rPr>
        <w:t>persons</w:t>
      </w:r>
      <w:proofErr w:type="gramEnd"/>
      <w:r w:rsidRPr="00435B25">
        <w:rPr>
          <w:rFonts w:ascii="Arial" w:hAnsi="Arial" w:cs="Arial"/>
          <w:color w:val="000000"/>
          <w:sz w:val="20"/>
          <w:szCs w:val="20"/>
        </w:rPr>
        <w:t xml:space="preserve"> resident in India enhance the scale and scope of business operations of Indian entrepreneurs by providing global opportunities for growth. Such ventures through easier access to technology, research and development, a wider global market and reduced cost of capital along with other benefits increase the competitiveness of Indian entities and boost their brand value. These overseas investments are also important drivers of foreign trade and technology transfer thus boosting domestic employment, investment and growth through such interlinkages.</w:t>
      </w:r>
    </w:p>
    <w:p w:rsidR="002D338D" w:rsidRPr="00435B25" w:rsidRDefault="002D338D" w:rsidP="002D338D">
      <w:pPr>
        <w:pStyle w:val="NormalWeb"/>
        <w:jc w:val="both"/>
        <w:rPr>
          <w:rFonts w:ascii="Arial" w:hAnsi="Arial" w:cs="Arial"/>
          <w:color w:val="000000"/>
          <w:sz w:val="20"/>
          <w:szCs w:val="20"/>
        </w:rPr>
      </w:pPr>
      <w:r w:rsidRPr="00435B25">
        <w:rPr>
          <w:rFonts w:ascii="Arial" w:hAnsi="Arial" w:cs="Arial"/>
          <w:color w:val="000000"/>
          <w:sz w:val="20"/>
          <w:szCs w:val="20"/>
        </w:rPr>
        <w:t>2. In keeping with the spirit of liberalisation and to promote ease of doing business, the Central Government and the Reserve Bank of India have been progressively simplifying the procedures and rationalising the rules and regulations under the Foreign Exchange Management Act, 1999. In this direction, a significant step has been taken with operationalisation of a new Overseas Investment regime. </w:t>
      </w:r>
      <w:hyperlink r:id="rId38" w:tgtFrame="_blank" w:history="1">
        <w:r w:rsidRPr="00435B25">
          <w:rPr>
            <w:rStyle w:val="Hyperlink"/>
            <w:rFonts w:ascii="Arial" w:hAnsi="Arial" w:cs="Arial"/>
            <w:sz w:val="20"/>
            <w:szCs w:val="20"/>
          </w:rPr>
          <w:t>Foreign Exchange Management (Overseas Investment) Rules, 2022</w:t>
        </w:r>
      </w:hyperlink>
      <w:r w:rsidRPr="00435B25">
        <w:rPr>
          <w:rFonts w:ascii="Arial" w:hAnsi="Arial" w:cs="Arial"/>
          <w:color w:val="000000"/>
          <w:sz w:val="20"/>
          <w:szCs w:val="20"/>
        </w:rPr>
        <w:t> have been notified by the Central Government vide Notification No. G.S.R. 646(E) dated August 22, 2022 and </w:t>
      </w:r>
      <w:hyperlink r:id="rId39" w:tgtFrame="_blank" w:history="1">
        <w:r w:rsidRPr="00435B25">
          <w:rPr>
            <w:rStyle w:val="Hyperlink"/>
            <w:rFonts w:ascii="Arial" w:hAnsi="Arial" w:cs="Arial"/>
            <w:sz w:val="20"/>
            <w:szCs w:val="20"/>
          </w:rPr>
          <w:t>Foreign Exchange Management (Overseas Investment) Regulations, 2022</w:t>
        </w:r>
      </w:hyperlink>
      <w:r w:rsidRPr="00435B25">
        <w:rPr>
          <w:rFonts w:ascii="Arial" w:hAnsi="Arial" w:cs="Arial"/>
          <w:color w:val="000000"/>
          <w:sz w:val="20"/>
          <w:szCs w:val="20"/>
        </w:rPr>
        <w:t> have been notified by the Reserve Bank vide Notification No. FEMA 400/2022-RB dated August 22, 2022 in supersession of the </w:t>
      </w:r>
      <w:hyperlink r:id="rId40" w:tgtFrame="_blank" w:history="1">
        <w:r w:rsidRPr="00435B25">
          <w:rPr>
            <w:rStyle w:val="Hyperlink"/>
            <w:rFonts w:ascii="Arial" w:hAnsi="Arial" w:cs="Arial"/>
            <w:sz w:val="20"/>
            <w:szCs w:val="20"/>
          </w:rPr>
          <w:t>Notification No. FEMA 120/2004-RB dated July 07, 2004</w:t>
        </w:r>
      </w:hyperlink>
      <w:r w:rsidRPr="00435B25">
        <w:rPr>
          <w:rFonts w:ascii="Arial" w:hAnsi="Arial" w:cs="Arial"/>
          <w:color w:val="000000"/>
          <w:sz w:val="20"/>
          <w:szCs w:val="20"/>
        </w:rPr>
        <w:t> [Foreign Exchange Management (Transfer or Issue of any Foreign Security) (Amendment) Regulations, 2004] and </w:t>
      </w:r>
      <w:hyperlink r:id="rId41" w:tgtFrame="_blank" w:history="1">
        <w:r w:rsidRPr="00435B25">
          <w:rPr>
            <w:rStyle w:val="Hyperlink"/>
            <w:rFonts w:ascii="Arial" w:hAnsi="Arial" w:cs="Arial"/>
            <w:sz w:val="20"/>
            <w:szCs w:val="20"/>
          </w:rPr>
          <w:t>Notification No. FEMA 7 (R)/2015-RB dated January 21, 2016</w:t>
        </w:r>
      </w:hyperlink>
      <w:r w:rsidRPr="00435B25">
        <w:rPr>
          <w:rFonts w:ascii="Arial" w:hAnsi="Arial" w:cs="Arial"/>
          <w:color w:val="000000"/>
          <w:sz w:val="20"/>
          <w:szCs w:val="20"/>
        </w:rPr>
        <w:t xml:space="preserve"> [Foreign Exchange Management (Acquisition and Transfer of Immovable Property Outside India) Regulations, 2015]. The new regime simplifies the existing framework for overseas investment by </w:t>
      </w:r>
      <w:proofErr w:type="gramStart"/>
      <w:r w:rsidRPr="00435B25">
        <w:rPr>
          <w:rFonts w:ascii="Arial" w:hAnsi="Arial" w:cs="Arial"/>
          <w:color w:val="000000"/>
          <w:sz w:val="20"/>
          <w:szCs w:val="20"/>
        </w:rPr>
        <w:t>persons</w:t>
      </w:r>
      <w:proofErr w:type="gramEnd"/>
      <w:r w:rsidRPr="00435B25">
        <w:rPr>
          <w:rFonts w:ascii="Arial" w:hAnsi="Arial" w:cs="Arial"/>
          <w:color w:val="000000"/>
          <w:sz w:val="20"/>
          <w:szCs w:val="20"/>
        </w:rPr>
        <w:t xml:space="preserve"> resident in India to cover wider economic activity and significantly reduces the need for seeking specific approvals. This will reduce the compliance burden and associated compliance costs.</w:t>
      </w:r>
    </w:p>
    <w:p w:rsidR="002D338D" w:rsidRPr="00435B25" w:rsidRDefault="002D338D" w:rsidP="002D338D">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3. Some of the significant changes brought about through the new rules and regulations are summarised below:</w:t>
      </w:r>
    </w:p>
    <w:p w:rsidR="002D338D" w:rsidRPr="00435B25" w:rsidRDefault="002D338D" w:rsidP="002D338D">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(i) enhanced clarity with respect to various definitions;</w:t>
      </w:r>
    </w:p>
    <w:p w:rsidR="002D338D" w:rsidRPr="00435B25" w:rsidRDefault="002D338D" w:rsidP="002D338D">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(ii) introduction of the concept of “strategic sector”;</w:t>
      </w:r>
    </w:p>
    <w:p w:rsidR="002D338D" w:rsidRPr="00435B25" w:rsidRDefault="002D338D" w:rsidP="002D338D">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(iii) dispensing with the requirement of approval for:</w:t>
      </w:r>
    </w:p>
    <w:p w:rsidR="002D338D" w:rsidRPr="00435B25" w:rsidRDefault="002D338D" w:rsidP="002D338D">
      <w:pPr>
        <w:pStyle w:val="NormalWeb"/>
        <w:numPr>
          <w:ilvl w:val="0"/>
          <w:numId w:val="18"/>
        </w:numPr>
        <w:spacing w:before="0" w:beforeAutospacing="0"/>
        <w:ind w:left="0"/>
        <w:jc w:val="both"/>
        <w:rPr>
          <w:rFonts w:ascii="Arial" w:hAnsi="Arial" w:cs="Arial"/>
          <w:color w:val="000000"/>
          <w:sz w:val="20"/>
          <w:szCs w:val="20"/>
        </w:rPr>
      </w:pPr>
      <w:r w:rsidRPr="00435B25">
        <w:rPr>
          <w:rFonts w:ascii="Arial" w:hAnsi="Arial" w:cs="Arial"/>
          <w:color w:val="000000"/>
          <w:sz w:val="20"/>
          <w:szCs w:val="20"/>
        </w:rPr>
        <w:t>deferred payment of consideration;</w:t>
      </w:r>
    </w:p>
    <w:p w:rsidR="002D338D" w:rsidRPr="00435B25" w:rsidRDefault="002D338D" w:rsidP="002D338D">
      <w:pPr>
        <w:pStyle w:val="NormalWeb"/>
        <w:numPr>
          <w:ilvl w:val="0"/>
          <w:numId w:val="18"/>
        </w:numPr>
        <w:ind w:left="0"/>
        <w:jc w:val="both"/>
        <w:rPr>
          <w:rFonts w:ascii="Arial" w:hAnsi="Arial" w:cs="Arial"/>
          <w:color w:val="000000"/>
          <w:sz w:val="20"/>
          <w:szCs w:val="20"/>
        </w:rPr>
      </w:pPr>
      <w:r w:rsidRPr="00435B25">
        <w:rPr>
          <w:rFonts w:ascii="Arial" w:hAnsi="Arial" w:cs="Arial"/>
          <w:color w:val="000000"/>
          <w:sz w:val="20"/>
          <w:szCs w:val="20"/>
        </w:rPr>
        <w:t xml:space="preserve">investment/disinvestment by </w:t>
      </w:r>
      <w:proofErr w:type="gramStart"/>
      <w:r w:rsidRPr="00435B25">
        <w:rPr>
          <w:rFonts w:ascii="Arial" w:hAnsi="Arial" w:cs="Arial"/>
          <w:color w:val="000000"/>
          <w:sz w:val="20"/>
          <w:szCs w:val="20"/>
        </w:rPr>
        <w:t>persons</w:t>
      </w:r>
      <w:proofErr w:type="gramEnd"/>
      <w:r w:rsidRPr="00435B25">
        <w:rPr>
          <w:rFonts w:ascii="Arial" w:hAnsi="Arial" w:cs="Arial"/>
          <w:color w:val="000000"/>
          <w:sz w:val="20"/>
          <w:szCs w:val="20"/>
        </w:rPr>
        <w:t xml:space="preserve"> resident in India under investigation by any investigative agency/regulatory body;</w:t>
      </w:r>
    </w:p>
    <w:p w:rsidR="002D338D" w:rsidRPr="00435B25" w:rsidRDefault="002D338D" w:rsidP="002D338D">
      <w:pPr>
        <w:pStyle w:val="NormalWeb"/>
        <w:numPr>
          <w:ilvl w:val="0"/>
          <w:numId w:val="18"/>
        </w:numPr>
        <w:ind w:left="0"/>
        <w:jc w:val="both"/>
        <w:rPr>
          <w:rFonts w:ascii="Arial" w:hAnsi="Arial" w:cs="Arial"/>
          <w:color w:val="000000"/>
          <w:sz w:val="20"/>
          <w:szCs w:val="20"/>
        </w:rPr>
      </w:pPr>
      <w:r w:rsidRPr="00435B25">
        <w:rPr>
          <w:rFonts w:ascii="Arial" w:hAnsi="Arial" w:cs="Arial"/>
          <w:color w:val="000000"/>
          <w:sz w:val="20"/>
          <w:szCs w:val="20"/>
        </w:rPr>
        <w:t>issuance of corporate guarantees to or on behalf of second or subsequent level step down subsidiary (SDS);</w:t>
      </w:r>
    </w:p>
    <w:p w:rsidR="002D338D" w:rsidRPr="00435B25" w:rsidRDefault="002D338D" w:rsidP="002D338D">
      <w:pPr>
        <w:pStyle w:val="NormalWeb"/>
        <w:numPr>
          <w:ilvl w:val="0"/>
          <w:numId w:val="18"/>
        </w:numPr>
        <w:spacing w:before="0" w:beforeAutospacing="0" w:after="0" w:afterAutospacing="0"/>
        <w:ind w:left="0"/>
        <w:jc w:val="both"/>
        <w:rPr>
          <w:rFonts w:ascii="Arial" w:hAnsi="Arial" w:cs="Arial"/>
          <w:color w:val="000000"/>
          <w:sz w:val="20"/>
          <w:szCs w:val="20"/>
        </w:rPr>
      </w:pPr>
      <w:r w:rsidRPr="00435B25">
        <w:rPr>
          <w:rFonts w:ascii="Arial" w:hAnsi="Arial" w:cs="Arial"/>
          <w:color w:val="000000"/>
          <w:sz w:val="20"/>
          <w:szCs w:val="20"/>
        </w:rPr>
        <w:t>write-off on account of disinvestment;</w:t>
      </w:r>
    </w:p>
    <w:p w:rsidR="002D338D" w:rsidRPr="00435B25" w:rsidRDefault="002D338D" w:rsidP="002D338D">
      <w:pPr>
        <w:pStyle w:val="NormalWeb"/>
        <w:spacing w:before="0" w:beforeAutospacing="0" w:after="0" w:afterAutospacing="0"/>
        <w:jc w:val="both"/>
        <w:rPr>
          <w:rFonts w:ascii="Arial" w:hAnsi="Arial" w:cs="Arial"/>
          <w:color w:val="000000"/>
          <w:sz w:val="20"/>
          <w:szCs w:val="20"/>
        </w:rPr>
      </w:pPr>
      <w:r w:rsidRPr="00435B25">
        <w:rPr>
          <w:rFonts w:ascii="Arial" w:hAnsi="Arial" w:cs="Arial"/>
          <w:color w:val="000000"/>
          <w:sz w:val="20"/>
          <w:szCs w:val="20"/>
        </w:rPr>
        <w:t>(iv) introduction of “Late Submission Fee (LSF)” for reporting delays.</w:t>
      </w:r>
    </w:p>
    <w:p w:rsidR="002D338D" w:rsidRDefault="002D338D" w:rsidP="002D338D">
      <w:pPr>
        <w:pStyle w:val="NormalWeb"/>
        <w:spacing w:after="0" w:afterAutospacing="0"/>
        <w:rPr>
          <w:rFonts w:ascii="Arial" w:hAnsi="Arial" w:cs="Arial"/>
          <w:color w:val="000000"/>
          <w:sz w:val="20"/>
          <w:szCs w:val="20"/>
        </w:rPr>
      </w:pPr>
      <w:r w:rsidRPr="00435B25">
        <w:rPr>
          <w:rFonts w:ascii="Arial" w:hAnsi="Arial" w:cs="Arial"/>
          <w:color w:val="000000"/>
          <w:sz w:val="20"/>
          <w:szCs w:val="20"/>
        </w:rPr>
        <w:t>Yours faithfully</w:t>
      </w:r>
    </w:p>
    <w:p w:rsidR="002D338D" w:rsidRPr="00435B25" w:rsidRDefault="002D338D" w:rsidP="002D338D">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 xml:space="preserve">Ajay Kumar </w:t>
      </w:r>
      <w:proofErr w:type="spellStart"/>
      <w:r w:rsidRPr="00435B25">
        <w:rPr>
          <w:rFonts w:ascii="Arial" w:hAnsi="Arial" w:cs="Arial"/>
          <w:color w:val="000000"/>
          <w:sz w:val="20"/>
          <w:szCs w:val="20"/>
        </w:rPr>
        <w:t>Misra</w:t>
      </w:r>
      <w:proofErr w:type="spellEnd"/>
      <w:r w:rsidRPr="00435B25">
        <w:rPr>
          <w:rFonts w:ascii="Arial" w:hAnsi="Arial" w:cs="Arial"/>
          <w:color w:val="000000"/>
          <w:sz w:val="20"/>
          <w:szCs w:val="20"/>
        </w:rPr>
        <w:br/>
        <w:t>Chief General Manager-in-Charge</w:t>
      </w:r>
    </w:p>
    <w:p w:rsidR="002D338D" w:rsidRDefault="002D338D" w:rsidP="002D338D">
      <w:pPr>
        <w:rPr>
          <w:rFonts w:ascii="Arial" w:hAnsi="Arial" w:cs="Arial"/>
          <w:sz w:val="20"/>
          <w:szCs w:val="20"/>
        </w:rPr>
      </w:pPr>
    </w:p>
    <w:p w:rsidR="002D338D" w:rsidRPr="00435B25" w:rsidRDefault="002D338D" w:rsidP="002D338D">
      <w:pPr>
        <w:spacing w:after="0"/>
        <w:rPr>
          <w:rFonts w:ascii="Arial" w:hAnsi="Arial" w:cs="Arial"/>
          <w:sz w:val="20"/>
          <w:szCs w:val="20"/>
        </w:rPr>
      </w:pPr>
      <w:r w:rsidRPr="00435B25">
        <w:rPr>
          <w:rFonts w:ascii="Arial" w:hAnsi="Arial" w:cs="Arial"/>
          <w:sz w:val="20"/>
          <w:szCs w:val="20"/>
        </w:rPr>
        <w:t>More details can be referred to in the below link.</w:t>
      </w:r>
    </w:p>
    <w:p w:rsidR="002D338D" w:rsidRPr="00435B25" w:rsidRDefault="002D338D" w:rsidP="002D338D">
      <w:pPr>
        <w:rPr>
          <w:rFonts w:ascii="Arial" w:hAnsi="Arial" w:cs="Arial"/>
          <w:sz w:val="20"/>
          <w:szCs w:val="20"/>
        </w:rPr>
      </w:pPr>
      <w:r w:rsidRPr="00435B25">
        <w:rPr>
          <w:rFonts w:ascii="Arial" w:hAnsi="Arial" w:cs="Arial"/>
          <w:sz w:val="20"/>
          <w:szCs w:val="20"/>
        </w:rPr>
        <w:t xml:space="preserve">Reference Link: </w:t>
      </w:r>
      <w:hyperlink r:id="rId42" w:history="1">
        <w:r w:rsidRPr="00435B25">
          <w:rPr>
            <w:rStyle w:val="Hyperlink"/>
            <w:rFonts w:ascii="Arial" w:hAnsi="Arial" w:cs="Arial"/>
            <w:sz w:val="20"/>
            <w:szCs w:val="20"/>
          </w:rPr>
          <w:t>https://www.rbi.org.in/scripts/NotificationUser.aspx?Id=12381&amp;Mode=0</w:t>
        </w:r>
      </w:hyperlink>
    </w:p>
    <w:p w:rsidR="002D338D" w:rsidRDefault="002D338D" w:rsidP="002D338D">
      <w:pPr>
        <w:spacing w:line="259" w:lineRule="auto"/>
        <w:rPr>
          <w:rFonts w:ascii="Arial" w:hAnsi="Arial" w:cs="Arial"/>
          <w:sz w:val="20"/>
          <w:szCs w:val="20"/>
        </w:rPr>
      </w:pPr>
    </w:p>
    <w:p w:rsidR="002D338D" w:rsidRDefault="002D338D" w:rsidP="002D338D">
      <w:pPr>
        <w:pStyle w:val="NormalWeb"/>
        <w:rPr>
          <w:rFonts w:ascii="Arial" w:hAnsi="Arial" w:cs="Arial"/>
          <w:b/>
          <w:bCs/>
          <w:color w:val="000000"/>
          <w:sz w:val="20"/>
          <w:szCs w:val="20"/>
        </w:rPr>
      </w:pPr>
      <w:r>
        <w:rPr>
          <w:rFonts w:ascii="Arial" w:hAnsi="Arial" w:cs="Arial"/>
          <w:b/>
          <w:bCs/>
          <w:color w:val="000000"/>
          <w:sz w:val="20"/>
          <w:szCs w:val="20"/>
        </w:rPr>
        <w:t>Guidelines on Digital Lending</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RBI/2022-23/111</w:t>
      </w:r>
      <w:r>
        <w:rPr>
          <w:rFonts w:ascii="Arial" w:hAnsi="Arial" w:cs="Arial"/>
          <w:color w:val="000000"/>
          <w:sz w:val="20"/>
          <w:szCs w:val="20"/>
        </w:rPr>
        <w:br/>
        <w:t>DOR.CRE.REC.66/21.07.001/2022-23</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September 02, 2022</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All Commercial Banks,</w:t>
      </w:r>
      <w:r>
        <w:rPr>
          <w:rFonts w:ascii="Arial" w:hAnsi="Arial" w:cs="Arial"/>
          <w:color w:val="000000"/>
          <w:sz w:val="20"/>
          <w:szCs w:val="20"/>
        </w:rPr>
        <w:br/>
        <w:t>Primary (Urban) Co-operative Banks, State Co-operative Banks,</w:t>
      </w:r>
      <w:r>
        <w:rPr>
          <w:rFonts w:ascii="Arial" w:hAnsi="Arial" w:cs="Arial"/>
          <w:color w:val="000000"/>
          <w:sz w:val="20"/>
          <w:szCs w:val="20"/>
        </w:rPr>
        <w:br/>
        <w:t>District Central Co-operative Banks; and</w:t>
      </w:r>
      <w:r>
        <w:rPr>
          <w:rFonts w:ascii="Arial" w:hAnsi="Arial" w:cs="Arial"/>
          <w:color w:val="000000"/>
          <w:sz w:val="20"/>
          <w:szCs w:val="20"/>
        </w:rPr>
        <w:br/>
        <w:t>Non-Banking Financial Companies (including Housing Finance Companies)</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Madam/ Sir,</w:t>
      </w:r>
    </w:p>
    <w:p w:rsidR="002D338D" w:rsidRDefault="002D338D" w:rsidP="002D338D">
      <w:pPr>
        <w:pStyle w:val="head"/>
        <w:jc w:val="center"/>
        <w:rPr>
          <w:rFonts w:ascii="Arial" w:hAnsi="Arial" w:cs="Arial"/>
          <w:b/>
          <w:bCs/>
          <w:color w:val="000000"/>
          <w:sz w:val="20"/>
          <w:szCs w:val="20"/>
        </w:rPr>
      </w:pPr>
      <w:r>
        <w:rPr>
          <w:rFonts w:ascii="Arial" w:hAnsi="Arial" w:cs="Arial"/>
          <w:b/>
          <w:bCs/>
          <w:color w:val="000000"/>
          <w:sz w:val="20"/>
          <w:szCs w:val="20"/>
        </w:rPr>
        <w:t>Guidelines on Digital Lending</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A reference is invited to para 7 of the </w:t>
      </w:r>
      <w:hyperlink r:id="rId43" w:tgtFrame="_blank" w:history="1">
        <w:r>
          <w:rPr>
            <w:rStyle w:val="Hyperlink"/>
            <w:rFonts w:ascii="Arial" w:hAnsi="Arial" w:cs="Arial"/>
            <w:sz w:val="20"/>
            <w:szCs w:val="20"/>
          </w:rPr>
          <w:t>RBI Press Release “Recommendations of the Working Group on Digital Lending – Implementation” dated August 10, 2022</w:t>
        </w:r>
      </w:hyperlink>
      <w:r>
        <w:rPr>
          <w:rFonts w:ascii="Arial" w:hAnsi="Arial" w:cs="Arial"/>
          <w:color w:val="000000"/>
          <w:sz w:val="20"/>
          <w:szCs w:val="20"/>
        </w:rPr>
        <w:t>. Detailed guidelines on recommendations of the Working Group accepted for immediate implementation are attached as </w:t>
      </w:r>
      <w:hyperlink r:id="rId44" w:anchor="AN1" w:history="1">
        <w:r>
          <w:rPr>
            <w:rStyle w:val="Hyperlink"/>
            <w:rFonts w:ascii="Arial" w:hAnsi="Arial" w:cs="Arial"/>
            <w:sz w:val="20"/>
            <w:szCs w:val="20"/>
          </w:rPr>
          <w:t>Annex I</w:t>
        </w:r>
      </w:hyperlink>
      <w:r>
        <w:rPr>
          <w:rFonts w:ascii="Arial" w:hAnsi="Arial" w:cs="Arial"/>
          <w:color w:val="000000"/>
          <w:sz w:val="20"/>
          <w:szCs w:val="20"/>
        </w:rPr>
        <w:t> to this circular.</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2. It is reiterated that outsourcing arrangements entered by Regulated Entities (REs) with a Lending Service Provider (LSP)/ Digital Lending App (DLA) does not diminish the REs’ obligations and they shall continue to conform to the extant guidelines on outsourcing</w:t>
      </w:r>
      <w:hyperlink r:id="rId45" w:anchor="F1" w:history="1">
        <w:r>
          <w:rPr>
            <w:rStyle w:val="Hyperlink"/>
            <w:rFonts w:ascii="Arial" w:hAnsi="Arial" w:cs="Arial"/>
            <w:sz w:val="15"/>
            <w:szCs w:val="15"/>
            <w:vertAlign w:val="superscript"/>
          </w:rPr>
          <w:t>1</w:t>
        </w:r>
      </w:hyperlink>
      <w:r>
        <w:rPr>
          <w:rFonts w:ascii="Arial" w:hAnsi="Arial" w:cs="Arial"/>
          <w:color w:val="000000"/>
          <w:sz w:val="20"/>
          <w:szCs w:val="20"/>
        </w:rPr>
        <w:t>. The REs are advised to ensure that the LSPs engaged by them and the DLAs (either of the RE or of the LSP engaged by the RE) comply with the guidelines contained in this circular.</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 xml:space="preserve">3. It is further advised that the instructions contained in this circular shall be applicable to the ‘existing customers availing fresh loans’ and to ‘new customers getting </w:t>
      </w:r>
      <w:proofErr w:type="spellStart"/>
      <w:r>
        <w:rPr>
          <w:rFonts w:ascii="Arial" w:hAnsi="Arial" w:cs="Arial"/>
          <w:color w:val="000000"/>
          <w:sz w:val="20"/>
          <w:szCs w:val="20"/>
        </w:rPr>
        <w:t>onboarded</w:t>
      </w:r>
      <w:proofErr w:type="spellEnd"/>
      <w:r>
        <w:rPr>
          <w:rFonts w:ascii="Arial" w:hAnsi="Arial" w:cs="Arial"/>
          <w:color w:val="000000"/>
          <w:sz w:val="20"/>
          <w:szCs w:val="20"/>
        </w:rPr>
        <w:t>’, from the date of this circular. However, in order to ensure a smooth transition, REs shall be given time till November 30, 2022, to put in place adequate systems and processes to ensure that ‘existing digital loans’ (sanctioned as on the date of the circular) are also in compliance with these guidelines in both letter and spirit.</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4. These directions are issued under sections 21, 35A and 56 of the Banking Regulation Act, 1949, sections 45JA, 45L and 45M of the Reserve Bank of India Act, 1934, sections 30A and 32 of the National Housing Bank Act, 1987, section 6 of the Factoring Regulation Act, 2011 and section 11 of the Credit Information Companies (Regulation) Act, 2005.</w:t>
      </w:r>
    </w:p>
    <w:p w:rsidR="002D338D" w:rsidRDefault="002D338D" w:rsidP="002D338D">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2D338D" w:rsidRDefault="002D338D" w:rsidP="002D338D">
      <w:pPr>
        <w:spacing w:before="240" w:after="240"/>
        <w:rPr>
          <w:rFonts w:ascii="Times New Roman" w:hAnsi="Times New Roman" w:cs="Times New Roman"/>
          <w:sz w:val="24"/>
          <w:szCs w:val="24"/>
        </w:rPr>
      </w:pPr>
    </w:p>
    <w:p w:rsidR="002D338D" w:rsidRDefault="002D338D" w:rsidP="002D338D">
      <w:pPr>
        <w:spacing w:before="240" w:after="240"/>
        <w:rPr>
          <w:rFonts w:ascii="Times New Roman" w:hAnsi="Times New Roman" w:cs="Times New Roman"/>
          <w:sz w:val="24"/>
          <w:szCs w:val="24"/>
        </w:rPr>
      </w:pPr>
    </w:p>
    <w:p w:rsidR="002D338D" w:rsidRDefault="002D338D" w:rsidP="002D338D">
      <w:r>
        <w:t>More details can be referred to in the below link.</w:t>
      </w:r>
    </w:p>
    <w:p w:rsidR="002D338D" w:rsidRDefault="002D338D" w:rsidP="002D338D">
      <w:pPr>
        <w:spacing w:line="259" w:lineRule="auto"/>
        <w:rPr>
          <w:rStyle w:val="Hyperlink"/>
          <w:rFonts w:ascii="Arial" w:hAnsi="Arial" w:cs="Arial"/>
          <w:bCs/>
          <w:sz w:val="20"/>
          <w:szCs w:val="20"/>
        </w:rPr>
      </w:pPr>
      <w:r>
        <w:rPr>
          <w:rFonts w:ascii="Arial" w:hAnsi="Arial" w:cs="Arial"/>
          <w:bCs/>
          <w:color w:val="000000"/>
          <w:sz w:val="20"/>
          <w:szCs w:val="20"/>
        </w:rPr>
        <w:t xml:space="preserve">Reference Link: </w:t>
      </w:r>
      <w:hyperlink r:id="rId46" w:history="1">
        <w:r w:rsidRPr="006865D6">
          <w:rPr>
            <w:rStyle w:val="Hyperlink"/>
            <w:rFonts w:ascii="Arial" w:hAnsi="Arial" w:cs="Arial"/>
            <w:bCs/>
            <w:sz w:val="20"/>
            <w:szCs w:val="20"/>
          </w:rPr>
          <w:t>https://rbi.org.in/Scripts/BS_CircularIndexDisplay.aspx?Id=12382</w:t>
        </w:r>
      </w:hyperlink>
    </w:p>
    <w:p w:rsidR="002D338D" w:rsidRDefault="002D338D" w:rsidP="002D338D">
      <w:pPr>
        <w:spacing w:line="259" w:lineRule="auto"/>
        <w:rPr>
          <w:rStyle w:val="Hyperlink"/>
          <w:rFonts w:ascii="Arial" w:hAnsi="Arial" w:cs="Arial"/>
          <w:bCs/>
          <w:sz w:val="20"/>
          <w:szCs w:val="20"/>
        </w:rPr>
      </w:pPr>
    </w:p>
    <w:p w:rsidR="002D338D" w:rsidRDefault="002D338D" w:rsidP="002D338D">
      <w:pPr>
        <w:spacing w:line="259" w:lineRule="auto"/>
        <w:rPr>
          <w:rStyle w:val="Hyperlink"/>
          <w:rFonts w:ascii="Arial" w:hAnsi="Arial" w:cs="Arial"/>
          <w:bCs/>
          <w:sz w:val="20"/>
          <w:szCs w:val="20"/>
        </w:rPr>
      </w:pPr>
    </w:p>
    <w:p w:rsidR="002D338D" w:rsidRDefault="002D338D" w:rsidP="002D338D">
      <w:pPr>
        <w:spacing w:line="259" w:lineRule="auto"/>
        <w:rPr>
          <w:rStyle w:val="Hyperlink"/>
          <w:rFonts w:ascii="Arial" w:hAnsi="Arial" w:cs="Arial"/>
          <w:bCs/>
          <w:sz w:val="20"/>
          <w:szCs w:val="20"/>
        </w:rPr>
      </w:pPr>
    </w:p>
    <w:p w:rsidR="002D338D" w:rsidRDefault="002D338D" w:rsidP="002D338D">
      <w:pPr>
        <w:spacing w:line="259" w:lineRule="auto"/>
        <w:rPr>
          <w:rStyle w:val="Hyperlink"/>
          <w:rFonts w:ascii="Arial" w:hAnsi="Arial" w:cs="Arial"/>
          <w:bCs/>
          <w:sz w:val="20"/>
          <w:szCs w:val="20"/>
        </w:rPr>
      </w:pPr>
    </w:p>
    <w:p w:rsidR="002D338D" w:rsidRDefault="002D338D" w:rsidP="002D338D">
      <w:pPr>
        <w:spacing w:line="259" w:lineRule="auto"/>
        <w:rPr>
          <w:rStyle w:val="Hyperlink"/>
          <w:rFonts w:ascii="Arial" w:hAnsi="Arial" w:cs="Arial"/>
          <w:bCs/>
          <w:sz w:val="20"/>
          <w:szCs w:val="20"/>
        </w:rPr>
      </w:pPr>
    </w:p>
    <w:p w:rsidR="002D338D" w:rsidRDefault="002D338D" w:rsidP="002D338D">
      <w:pPr>
        <w:pStyle w:val="NormalWeb"/>
        <w:rPr>
          <w:rFonts w:ascii="Arial" w:hAnsi="Arial" w:cs="Arial"/>
          <w:b/>
          <w:bCs/>
          <w:color w:val="000000"/>
          <w:sz w:val="20"/>
          <w:szCs w:val="20"/>
        </w:rPr>
      </w:pPr>
      <w:r>
        <w:rPr>
          <w:rFonts w:ascii="Arial" w:hAnsi="Arial" w:cs="Arial"/>
          <w:b/>
          <w:bCs/>
          <w:color w:val="000000"/>
          <w:sz w:val="20"/>
          <w:szCs w:val="20"/>
        </w:rPr>
        <w:t>Incentive for improving service to non-chest branches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RBI/2022-23/112</w:t>
      </w:r>
      <w:r>
        <w:rPr>
          <w:rFonts w:ascii="Arial" w:hAnsi="Arial" w:cs="Arial"/>
          <w:color w:val="000000"/>
          <w:sz w:val="20"/>
          <w:szCs w:val="20"/>
        </w:rPr>
        <w:br/>
        <w:t>DCM (NPD) No.S770/09.40.002/2022-23</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September 06, 2022</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The Chairman &amp; Managing Director</w:t>
      </w:r>
      <w:r>
        <w:rPr>
          <w:rFonts w:ascii="Arial" w:hAnsi="Arial" w:cs="Arial"/>
          <w:color w:val="000000"/>
          <w:sz w:val="20"/>
          <w:szCs w:val="20"/>
        </w:rPr>
        <w:br/>
        <w:t>Managing Director/ Chief Executive Officer</w:t>
      </w:r>
      <w:r>
        <w:rPr>
          <w:rFonts w:ascii="Arial" w:hAnsi="Arial" w:cs="Arial"/>
          <w:color w:val="000000"/>
          <w:sz w:val="20"/>
          <w:szCs w:val="20"/>
        </w:rPr>
        <w:br/>
        <w:t>All Banks having Currency Chests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Madam/ Sir,</w:t>
      </w:r>
    </w:p>
    <w:p w:rsidR="002D338D" w:rsidRDefault="002D338D" w:rsidP="002D338D">
      <w:pPr>
        <w:pStyle w:val="head"/>
        <w:jc w:val="both"/>
        <w:rPr>
          <w:rFonts w:ascii="Arial" w:hAnsi="Arial" w:cs="Arial"/>
          <w:b/>
          <w:bCs/>
          <w:color w:val="000000"/>
          <w:sz w:val="20"/>
          <w:szCs w:val="20"/>
        </w:rPr>
      </w:pPr>
      <w:r>
        <w:rPr>
          <w:rFonts w:ascii="Arial" w:hAnsi="Arial" w:cs="Arial"/>
          <w:b/>
          <w:bCs/>
          <w:color w:val="000000"/>
          <w:sz w:val="20"/>
          <w:szCs w:val="20"/>
          <w:u w:val="single"/>
        </w:rPr>
        <w:t>Incentive for improving service to non-chest branches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Please refer to </w:t>
      </w:r>
      <w:hyperlink r:id="rId47" w:tgtFrame="_blank" w:history="1">
        <w:r>
          <w:rPr>
            <w:rStyle w:val="Hyperlink"/>
            <w:rFonts w:ascii="Arial" w:hAnsi="Arial" w:cs="Arial"/>
            <w:sz w:val="20"/>
            <w:szCs w:val="20"/>
          </w:rPr>
          <w:t>circulars RBI/ 2015-16/ 293 DCM (NPD) No. 2564/ 09.40.02/ 2015-16 dated January 21, 2016</w:t>
        </w:r>
      </w:hyperlink>
      <w:r>
        <w:rPr>
          <w:rFonts w:ascii="Arial" w:hAnsi="Arial" w:cs="Arial"/>
          <w:color w:val="000000"/>
          <w:sz w:val="20"/>
          <w:szCs w:val="20"/>
        </w:rPr>
        <w:t> and </w:t>
      </w:r>
      <w:hyperlink r:id="rId48" w:tgtFrame="_blank" w:history="1">
        <w:r>
          <w:rPr>
            <w:rStyle w:val="Hyperlink"/>
            <w:rFonts w:ascii="Arial" w:hAnsi="Arial" w:cs="Arial"/>
            <w:sz w:val="20"/>
            <w:szCs w:val="20"/>
          </w:rPr>
          <w:t>DCM (</w:t>
        </w:r>
        <w:proofErr w:type="spellStart"/>
        <w:r>
          <w:rPr>
            <w:rStyle w:val="Hyperlink"/>
            <w:rFonts w:ascii="Arial" w:hAnsi="Arial" w:cs="Arial"/>
            <w:sz w:val="20"/>
            <w:szCs w:val="20"/>
          </w:rPr>
          <w:t>Plg</w:t>
        </w:r>
        <w:proofErr w:type="spellEnd"/>
        <w:r>
          <w:rPr>
            <w:rStyle w:val="Hyperlink"/>
            <w:rFonts w:ascii="Arial" w:hAnsi="Arial" w:cs="Arial"/>
            <w:sz w:val="20"/>
            <w:szCs w:val="20"/>
          </w:rPr>
          <w:t>.) No 2845/ 10.25.007/2018-19 dated May 23, 2019</w:t>
        </w:r>
      </w:hyperlink>
      <w:r>
        <w:rPr>
          <w:rFonts w:ascii="Arial" w:hAnsi="Arial" w:cs="Arial"/>
          <w:color w:val="000000"/>
          <w:sz w:val="20"/>
          <w:szCs w:val="20"/>
        </w:rPr>
        <w:t> on the captioned subject.</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2. We have been receiving queries regarding the applicability of GST on the service charges levied on cash deposited by non-chest bank branches to the Currency Chests. It is clarified that the amount indicated in the aforesaid circulars are exclusive of applicable taxes. Accordingly, the service charges mentioned in the aforesaid circulars is to be read as ₹5 </w:t>
      </w:r>
      <w:r>
        <w:rPr>
          <w:rFonts w:ascii="Arial" w:hAnsi="Arial" w:cs="Arial"/>
          <w:color w:val="000000"/>
          <w:sz w:val="20"/>
          <w:szCs w:val="20"/>
          <w:u w:val="single"/>
        </w:rPr>
        <w:t>plus applicable taxes</w:t>
      </w:r>
      <w:r>
        <w:rPr>
          <w:rFonts w:ascii="Arial" w:hAnsi="Arial" w:cs="Arial"/>
          <w:color w:val="000000"/>
          <w:sz w:val="20"/>
          <w:szCs w:val="20"/>
        </w:rPr>
        <w:t> per packet and ₹8 </w:t>
      </w:r>
      <w:r>
        <w:rPr>
          <w:rFonts w:ascii="Arial" w:hAnsi="Arial" w:cs="Arial"/>
          <w:color w:val="000000"/>
          <w:sz w:val="20"/>
          <w:szCs w:val="20"/>
          <w:u w:val="single"/>
        </w:rPr>
        <w:t>plus applicable taxes</w:t>
      </w:r>
      <w:r>
        <w:rPr>
          <w:rFonts w:ascii="Arial" w:hAnsi="Arial" w:cs="Arial"/>
          <w:color w:val="000000"/>
          <w:sz w:val="20"/>
          <w:szCs w:val="20"/>
        </w:rPr>
        <w:t> per packet, as the case may be.</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(Sanjeev Prakash)</w:t>
      </w:r>
      <w:r>
        <w:rPr>
          <w:rFonts w:ascii="Arial" w:hAnsi="Arial" w:cs="Arial"/>
          <w:color w:val="000000"/>
          <w:sz w:val="20"/>
          <w:szCs w:val="20"/>
        </w:rPr>
        <w:br/>
        <w:t>Chief General Manager</w:t>
      </w:r>
    </w:p>
    <w:p w:rsidR="002D338D" w:rsidRDefault="002D338D" w:rsidP="002D338D">
      <w:pPr>
        <w:pStyle w:val="NormalWeb"/>
        <w:rPr>
          <w:rFonts w:ascii="Arial" w:hAnsi="Arial" w:cs="Arial"/>
          <w:color w:val="000000"/>
          <w:sz w:val="20"/>
          <w:szCs w:val="20"/>
        </w:rPr>
      </w:pPr>
    </w:p>
    <w:p w:rsidR="002D338D" w:rsidRDefault="002D338D" w:rsidP="002D338D">
      <w:pPr>
        <w:pStyle w:val="NormalWeb"/>
        <w:rPr>
          <w:rFonts w:ascii="Arial" w:hAnsi="Arial" w:cs="Arial"/>
          <w:color w:val="000000"/>
          <w:sz w:val="20"/>
          <w:szCs w:val="20"/>
        </w:rPr>
      </w:pPr>
    </w:p>
    <w:p w:rsidR="002D338D" w:rsidRDefault="002D338D" w:rsidP="002D338D">
      <w:r>
        <w:t>More details can be referred to in the below link.</w:t>
      </w:r>
    </w:p>
    <w:p w:rsidR="002D338D" w:rsidRDefault="002D338D" w:rsidP="002D338D">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49" w:history="1">
        <w:r w:rsidRPr="006865D6">
          <w:rPr>
            <w:rStyle w:val="Hyperlink"/>
            <w:rFonts w:ascii="Arial" w:hAnsi="Arial" w:cs="Arial"/>
            <w:bCs/>
            <w:sz w:val="20"/>
            <w:szCs w:val="20"/>
          </w:rPr>
          <w:t>https://www.rbi.org.in/scripts/NotificationUser.aspx?Id=12383&amp;Mode=0</w:t>
        </w:r>
      </w:hyperlink>
    </w:p>
    <w:p w:rsidR="002D338D" w:rsidRDefault="002D338D" w:rsidP="002D338D">
      <w:pPr>
        <w:pStyle w:val="NormalWeb"/>
        <w:rPr>
          <w:rFonts w:ascii="Arial" w:hAnsi="Arial" w:cs="Arial"/>
          <w:bCs/>
          <w:color w:val="000000"/>
          <w:sz w:val="20"/>
          <w:szCs w:val="20"/>
        </w:rPr>
      </w:pPr>
    </w:p>
    <w:p w:rsidR="002D338D" w:rsidRDefault="002D338D" w:rsidP="002D338D">
      <w:pPr>
        <w:pStyle w:val="NormalWeb"/>
        <w:rPr>
          <w:rFonts w:ascii="Arial" w:hAnsi="Arial" w:cs="Arial"/>
          <w:bCs/>
          <w:color w:val="000000"/>
          <w:sz w:val="20"/>
          <w:szCs w:val="20"/>
        </w:rPr>
      </w:pPr>
    </w:p>
    <w:p w:rsidR="002D338D" w:rsidRDefault="002D338D" w:rsidP="002D338D">
      <w:pPr>
        <w:pStyle w:val="NormalWeb"/>
        <w:rPr>
          <w:rFonts w:ascii="Arial" w:hAnsi="Arial" w:cs="Arial"/>
          <w:bCs/>
          <w:color w:val="000000"/>
          <w:sz w:val="20"/>
          <w:szCs w:val="20"/>
        </w:rPr>
      </w:pPr>
    </w:p>
    <w:p w:rsidR="002D338D" w:rsidRDefault="002D338D" w:rsidP="002D338D">
      <w:pPr>
        <w:pStyle w:val="NormalWeb"/>
        <w:rPr>
          <w:rFonts w:ascii="Arial" w:hAnsi="Arial" w:cs="Arial"/>
          <w:bCs/>
          <w:color w:val="000000"/>
          <w:sz w:val="20"/>
          <w:szCs w:val="20"/>
        </w:rPr>
      </w:pPr>
    </w:p>
    <w:p w:rsidR="002D338D" w:rsidRDefault="002D338D" w:rsidP="002D338D">
      <w:pPr>
        <w:pStyle w:val="NormalWeb"/>
        <w:rPr>
          <w:rFonts w:ascii="Arial" w:hAnsi="Arial" w:cs="Arial"/>
          <w:bCs/>
          <w:color w:val="000000"/>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after="0"/>
        <w:rPr>
          <w:rFonts w:ascii="Arial" w:hAnsi="Arial" w:cs="Arial"/>
          <w:b/>
          <w:bCs/>
          <w:color w:val="000000"/>
          <w:sz w:val="20"/>
          <w:szCs w:val="20"/>
        </w:rPr>
      </w:pPr>
      <w:r>
        <w:rPr>
          <w:rFonts w:ascii="Arial" w:hAnsi="Arial" w:cs="Arial"/>
          <w:b/>
          <w:bCs/>
          <w:color w:val="000000"/>
          <w:sz w:val="20"/>
          <w:szCs w:val="20"/>
        </w:rPr>
        <w:t>Review of Prudential Norms – Risk Weights for Exposures guaranteed by Credit Guarantee Schemes (CGS)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RBI/2022-23/113</w:t>
      </w:r>
      <w:r>
        <w:rPr>
          <w:rFonts w:ascii="Arial" w:hAnsi="Arial" w:cs="Arial"/>
          <w:color w:val="000000"/>
          <w:sz w:val="20"/>
          <w:szCs w:val="20"/>
        </w:rPr>
        <w:br/>
        <w:t>DOR.STR.REC.67/21.06.201/2022-23</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September 07, 2022</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All Primary (Urban) Co-operative Banks</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All All-India Financial Institutions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Dear Sir/Madam,</w:t>
      </w:r>
    </w:p>
    <w:p w:rsidR="002D338D" w:rsidRDefault="002D338D" w:rsidP="002D338D">
      <w:pPr>
        <w:pStyle w:val="head"/>
        <w:jc w:val="both"/>
        <w:rPr>
          <w:rFonts w:ascii="Arial" w:hAnsi="Arial" w:cs="Arial"/>
          <w:b/>
          <w:bCs/>
          <w:color w:val="000000"/>
          <w:sz w:val="20"/>
          <w:szCs w:val="20"/>
        </w:rPr>
      </w:pPr>
      <w:r>
        <w:rPr>
          <w:rFonts w:ascii="Arial" w:hAnsi="Arial" w:cs="Arial"/>
          <w:b/>
          <w:bCs/>
          <w:color w:val="000000"/>
          <w:sz w:val="20"/>
          <w:szCs w:val="20"/>
        </w:rPr>
        <w:t>Review of Prudential Norms – Risk Weights for Exposures guaranteed by Credit Guarantee Schemes (CGS)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Please refer to paragraph 5.2 of the </w:t>
      </w:r>
      <w:hyperlink r:id="rId50" w:tgtFrame="_blank" w:history="1">
        <w:r>
          <w:rPr>
            <w:rStyle w:val="Hyperlink"/>
            <w:rFonts w:ascii="Arial" w:hAnsi="Arial" w:cs="Arial"/>
            <w:sz w:val="20"/>
            <w:szCs w:val="20"/>
          </w:rPr>
          <w:t>Master Circular on Basel III Capital Regulations dated April 1, 2022</w:t>
        </w:r>
      </w:hyperlink>
      <w:r>
        <w:rPr>
          <w:rFonts w:ascii="Arial" w:hAnsi="Arial" w:cs="Arial"/>
          <w:color w:val="000000"/>
          <w:sz w:val="20"/>
          <w:szCs w:val="20"/>
        </w:rPr>
        <w:t> in terms of which banks are permitted to apply zero percent risk weights in respect of claims on Credit Guarantee Fund Trust for Micro and Small Enterprises (CGTMSE), Credit Risk Guarantee Fund Trust for Low Income Housing (CRGFTLIH) and individual schemes under National Credit Guarantee Trustee Company Ltd (NCGTC).</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2. In order to have a consistent approach with regard to risk weights for exposures guaranteed by such Trust Funds, it is advised that the risk weight of zero percent shall be applicable in respect of exposures guaranteed under any existing or future schemes launched by CGTMSE, CRGFTLIH and NCGTC satisfying the following conditions:</w:t>
      </w:r>
    </w:p>
    <w:p w:rsidR="002D338D" w:rsidRDefault="002D338D" w:rsidP="002D338D">
      <w:pPr>
        <w:pStyle w:val="NormalWeb"/>
        <w:numPr>
          <w:ilvl w:val="0"/>
          <w:numId w:val="30"/>
        </w:numPr>
        <w:ind w:left="0"/>
        <w:jc w:val="both"/>
        <w:rPr>
          <w:rFonts w:ascii="Arial" w:hAnsi="Arial" w:cs="Arial"/>
          <w:color w:val="000000"/>
          <w:sz w:val="20"/>
          <w:szCs w:val="20"/>
        </w:rPr>
      </w:pPr>
      <w:r>
        <w:rPr>
          <w:rStyle w:val="head1"/>
          <w:rFonts w:ascii="Arial" w:hAnsi="Arial" w:cs="Arial"/>
          <w:b/>
          <w:bCs/>
          <w:color w:val="000000"/>
          <w:sz w:val="20"/>
          <w:szCs w:val="20"/>
        </w:rPr>
        <w:t>Prudential Aspects:</w:t>
      </w:r>
      <w:r>
        <w:rPr>
          <w:rFonts w:ascii="Arial" w:hAnsi="Arial" w:cs="Arial"/>
          <w:color w:val="000000"/>
          <w:sz w:val="20"/>
          <w:szCs w:val="20"/>
        </w:rPr>
        <w:t> The guarantees provided under the respective schemes should comply with the requirements for credit risk mitigation in terms of paragraph 7.5 of the </w:t>
      </w:r>
      <w:hyperlink r:id="rId51" w:tgtFrame="_blank" w:history="1">
        <w:r>
          <w:rPr>
            <w:rStyle w:val="Hyperlink"/>
            <w:rFonts w:ascii="Arial" w:hAnsi="Arial" w:cs="Arial"/>
            <w:sz w:val="20"/>
            <w:szCs w:val="20"/>
          </w:rPr>
          <w:t>Master Circular on Basel III Capital Regulations dated April 1, 2022</w:t>
        </w:r>
      </w:hyperlink>
      <w:r>
        <w:rPr>
          <w:rFonts w:ascii="Arial" w:hAnsi="Arial" w:cs="Arial"/>
          <w:color w:val="000000"/>
          <w:sz w:val="20"/>
          <w:szCs w:val="20"/>
        </w:rPr>
        <w:t> which inter alia requires such guarantees to be direct, explicit, irrevocable and unconditional;</w:t>
      </w:r>
    </w:p>
    <w:p w:rsidR="002D338D" w:rsidRDefault="002D338D" w:rsidP="002D338D">
      <w:pPr>
        <w:pStyle w:val="NormalWeb"/>
        <w:numPr>
          <w:ilvl w:val="0"/>
          <w:numId w:val="30"/>
        </w:numPr>
        <w:ind w:left="0"/>
        <w:jc w:val="both"/>
        <w:rPr>
          <w:rFonts w:ascii="Arial" w:hAnsi="Arial" w:cs="Arial"/>
          <w:color w:val="000000"/>
          <w:sz w:val="20"/>
          <w:szCs w:val="20"/>
        </w:rPr>
      </w:pPr>
      <w:r>
        <w:rPr>
          <w:rStyle w:val="head1"/>
          <w:rFonts w:ascii="Arial" w:hAnsi="Arial" w:cs="Arial"/>
          <w:b/>
          <w:bCs/>
          <w:color w:val="000000"/>
          <w:sz w:val="20"/>
          <w:szCs w:val="20"/>
        </w:rPr>
        <w:t>Restrictions on permissible claims:</w:t>
      </w:r>
      <w:r>
        <w:rPr>
          <w:rFonts w:ascii="Arial" w:hAnsi="Arial" w:cs="Arial"/>
          <w:color w:val="000000"/>
          <w:sz w:val="20"/>
          <w:szCs w:val="20"/>
        </w:rPr>
        <w:t xml:space="preserve"> Where the terms of the guarantee schemes restrict the maximum permissible claims through features like specified extent of guarantee coverage, clause on first loss absorption by member lending institutions (MLI), </w:t>
      </w:r>
      <w:proofErr w:type="spellStart"/>
      <w:r>
        <w:rPr>
          <w:rFonts w:ascii="Arial" w:hAnsi="Arial" w:cs="Arial"/>
          <w:color w:val="000000"/>
          <w:sz w:val="20"/>
          <w:szCs w:val="20"/>
        </w:rPr>
        <w:t>payout</w:t>
      </w:r>
      <w:proofErr w:type="spellEnd"/>
      <w:r>
        <w:rPr>
          <w:rFonts w:ascii="Arial" w:hAnsi="Arial" w:cs="Arial"/>
          <w:color w:val="000000"/>
          <w:sz w:val="20"/>
          <w:szCs w:val="20"/>
        </w:rPr>
        <w:t xml:space="preserve"> cap, etc., the zero percent risk weight shall be restricted to the maximum permissible claim and the residual exposure shall be subjected to risk weight as applicable to the counterparty in terms of extant regulations.</w:t>
      </w:r>
    </w:p>
    <w:p w:rsidR="002D338D" w:rsidRDefault="002D338D" w:rsidP="002D338D">
      <w:pPr>
        <w:pStyle w:val="NormalWeb"/>
        <w:numPr>
          <w:ilvl w:val="0"/>
          <w:numId w:val="30"/>
        </w:numPr>
        <w:ind w:left="0"/>
        <w:jc w:val="both"/>
        <w:rPr>
          <w:rFonts w:ascii="Arial" w:hAnsi="Arial" w:cs="Arial"/>
          <w:color w:val="000000"/>
          <w:sz w:val="20"/>
          <w:szCs w:val="20"/>
        </w:rPr>
      </w:pPr>
      <w:r>
        <w:rPr>
          <w:rFonts w:ascii="Arial" w:hAnsi="Arial" w:cs="Arial"/>
          <w:color w:val="000000"/>
          <w:sz w:val="20"/>
          <w:szCs w:val="20"/>
        </w:rPr>
        <w:t>In case of a portfolio-level guarantee, effective from April 1, 2023, the extent of exposure subjected to first loss absorption by the MLI, if any, shall be subjected to full capital deduction and the residual exposure shall be subjected to risk weight as applicable to the counterparty in terms of extant regulations, on a pro rata basis. The maximum capital charge shall be capped at a notional level arrived at by treating the entire exposure as unguaranteed.</w:t>
      </w:r>
    </w:p>
    <w:p w:rsidR="002D338D" w:rsidRDefault="002D338D" w:rsidP="002D338D">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2D338D" w:rsidRDefault="002D338D" w:rsidP="002D338D"/>
    <w:p w:rsidR="002D338D" w:rsidRDefault="002D338D" w:rsidP="002D338D">
      <w:r>
        <w:t>More details can be referred to in the below link.</w:t>
      </w:r>
    </w:p>
    <w:p w:rsidR="002D338D" w:rsidRDefault="002D338D" w:rsidP="002D338D">
      <w:pPr>
        <w:spacing w:after="0"/>
        <w:rPr>
          <w:rFonts w:ascii="Arial" w:hAnsi="Arial" w:cs="Arial"/>
          <w:bCs/>
          <w:color w:val="000000"/>
          <w:sz w:val="20"/>
          <w:szCs w:val="20"/>
        </w:rPr>
      </w:pPr>
      <w:r>
        <w:rPr>
          <w:rFonts w:ascii="Arial" w:hAnsi="Arial" w:cs="Arial"/>
          <w:bCs/>
          <w:color w:val="000000"/>
          <w:sz w:val="20"/>
          <w:szCs w:val="20"/>
        </w:rPr>
        <w:t xml:space="preserve">Reference Link: </w:t>
      </w:r>
      <w:hyperlink r:id="rId52" w:history="1">
        <w:r w:rsidRPr="00550186">
          <w:rPr>
            <w:rStyle w:val="Hyperlink"/>
            <w:rFonts w:ascii="Arial" w:hAnsi="Arial" w:cs="Arial"/>
            <w:bCs/>
            <w:sz w:val="20"/>
            <w:szCs w:val="20"/>
          </w:rPr>
          <w:t>https://www.rbi.org.in/scripts/NotificationUser.aspx?Id=12384&amp;Mode=0</w:t>
        </w:r>
      </w:hyperlink>
    </w:p>
    <w:p w:rsidR="00D46302" w:rsidRDefault="00D46302">
      <w:pPr>
        <w:spacing w:line="259" w:lineRule="auto"/>
        <w:rPr>
          <w:rFonts w:ascii="Arial" w:hAnsi="Arial" w:cs="Arial"/>
          <w:sz w:val="20"/>
          <w:szCs w:val="20"/>
        </w:rPr>
      </w:pPr>
      <w:r>
        <w:rPr>
          <w:rFonts w:ascii="Arial" w:hAnsi="Arial" w:cs="Arial"/>
          <w:sz w:val="20"/>
          <w:szCs w:val="20"/>
        </w:rPr>
        <w:br w:type="page"/>
      </w: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b/>
          <w:bCs/>
          <w:color w:val="000000"/>
          <w:sz w:val="20"/>
          <w:szCs w:val="20"/>
        </w:rPr>
      </w:pPr>
      <w:r>
        <w:rPr>
          <w:rFonts w:ascii="Arial" w:hAnsi="Arial" w:cs="Arial"/>
          <w:b/>
          <w:bCs/>
          <w:color w:val="000000"/>
          <w:sz w:val="20"/>
          <w:szCs w:val="20"/>
        </w:rPr>
        <w:t>Compliance Function and Role of Chief Compliance Officer (CCO)- Urban Co-operative Banks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RBI/2022-2023/118</w:t>
      </w:r>
      <w:r>
        <w:rPr>
          <w:rFonts w:ascii="Arial" w:hAnsi="Arial" w:cs="Arial"/>
          <w:color w:val="000000"/>
          <w:sz w:val="20"/>
          <w:szCs w:val="20"/>
        </w:rPr>
        <w:br/>
      </w:r>
      <w:proofErr w:type="spellStart"/>
      <w:r>
        <w:rPr>
          <w:rFonts w:ascii="Arial" w:hAnsi="Arial" w:cs="Arial"/>
          <w:color w:val="000000"/>
          <w:sz w:val="20"/>
          <w:szCs w:val="20"/>
        </w:rPr>
        <w:t>Ref.No.DoS.CO.PPG</w:t>
      </w:r>
      <w:proofErr w:type="spellEnd"/>
      <w:r>
        <w:rPr>
          <w:rFonts w:ascii="Arial" w:hAnsi="Arial" w:cs="Arial"/>
          <w:color w:val="000000"/>
          <w:sz w:val="20"/>
          <w:szCs w:val="20"/>
        </w:rPr>
        <w:t>/SEC.04/11.01.005/2022-23</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September 19, 2022</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All Primary (Urban) Co-operative Banks (UCBs)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Madam / Dear Sir,</w:t>
      </w:r>
    </w:p>
    <w:p w:rsidR="002D338D" w:rsidRDefault="002D338D" w:rsidP="002D338D">
      <w:pPr>
        <w:pStyle w:val="head"/>
        <w:jc w:val="center"/>
        <w:rPr>
          <w:rFonts w:ascii="Arial" w:hAnsi="Arial" w:cs="Arial"/>
          <w:b/>
          <w:bCs/>
          <w:color w:val="000000"/>
          <w:sz w:val="20"/>
          <w:szCs w:val="20"/>
        </w:rPr>
      </w:pPr>
      <w:r>
        <w:rPr>
          <w:rFonts w:ascii="Arial" w:hAnsi="Arial" w:cs="Arial"/>
          <w:b/>
          <w:bCs/>
          <w:color w:val="000000"/>
          <w:sz w:val="20"/>
          <w:szCs w:val="20"/>
          <w:u w:val="single"/>
        </w:rPr>
        <w:t>Compliance Function and Role of Chief Compliance Officer (CCO)-</w:t>
      </w:r>
      <w:r>
        <w:rPr>
          <w:rFonts w:ascii="Arial" w:hAnsi="Arial" w:cs="Arial"/>
          <w:b/>
          <w:bCs/>
          <w:color w:val="000000"/>
          <w:sz w:val="20"/>
          <w:szCs w:val="20"/>
          <w:u w:val="single"/>
        </w:rPr>
        <w:br/>
        <w:t>Urban Co-operative Banks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As part of the overall structure for Corporate Governance, the Compliance Function serves a critical role. Therefore, it has been decided to introduce certain principles, standards and procedures for Compliance Function in UCBs, keeping in view the principles of proportionality. Accordingly, this Circular shall be applicable to all UCBs under Tier 3 and Tier 4 categories</w:t>
      </w:r>
      <w:hyperlink r:id="rId53" w:anchor="FN1" w:history="1">
        <w:r>
          <w:rPr>
            <w:rStyle w:val="Hyperlink"/>
            <w:rFonts w:ascii="Arial" w:hAnsi="Arial" w:cs="Arial"/>
            <w:sz w:val="15"/>
            <w:szCs w:val="15"/>
            <w:vertAlign w:val="superscript"/>
          </w:rPr>
          <w:t>1</w:t>
        </w:r>
      </w:hyperlink>
      <w:r>
        <w:rPr>
          <w:rFonts w:ascii="Arial" w:hAnsi="Arial" w:cs="Arial"/>
          <w:color w:val="000000"/>
          <w:sz w:val="20"/>
          <w:szCs w:val="20"/>
        </w:rPr>
        <w:t> except UCBs under All Inclusive Directions (AID)</w:t>
      </w:r>
      <w:hyperlink r:id="rId54" w:anchor="FN2" w:history="1">
        <w:r>
          <w:rPr>
            <w:rStyle w:val="Hyperlink"/>
            <w:rFonts w:ascii="Arial" w:hAnsi="Arial" w:cs="Arial"/>
            <w:sz w:val="15"/>
            <w:szCs w:val="15"/>
            <w:vertAlign w:val="superscript"/>
          </w:rPr>
          <w:t>2</w:t>
        </w:r>
      </w:hyperlink>
      <w:r>
        <w:rPr>
          <w:rFonts w:ascii="Arial" w:hAnsi="Arial" w:cs="Arial"/>
          <w:color w:val="000000"/>
          <w:sz w:val="20"/>
          <w:szCs w:val="20"/>
        </w:rPr>
        <w:t>. UCBs under Tier 1 and Tier 2 categories shall continue to be governed under the existing guidelines</w:t>
      </w:r>
      <w:hyperlink r:id="rId55" w:anchor="FN3" w:history="1">
        <w:r>
          <w:rPr>
            <w:rStyle w:val="Hyperlink"/>
            <w:rFonts w:ascii="Arial" w:hAnsi="Arial" w:cs="Arial"/>
            <w:sz w:val="15"/>
            <w:szCs w:val="15"/>
            <w:vertAlign w:val="superscript"/>
          </w:rPr>
          <w:t>3</w:t>
        </w:r>
      </w:hyperlink>
      <w:r>
        <w:rPr>
          <w:rFonts w:ascii="Arial" w:hAnsi="Arial" w:cs="Arial"/>
          <w:color w:val="000000"/>
          <w:sz w:val="20"/>
          <w:szCs w:val="20"/>
        </w:rPr>
        <w:t>.</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2. The UCBs under Tier 4 category shall put in place a Board-approved policy and a Compliance Function, including the appointment of a Chief Compliance Officer (CCO), based on the Framework given in the </w:t>
      </w:r>
      <w:hyperlink r:id="rId56" w:anchor="AN" w:history="1">
        <w:r>
          <w:rPr>
            <w:rStyle w:val="Hyperlink"/>
            <w:rFonts w:ascii="Arial" w:hAnsi="Arial" w:cs="Arial"/>
            <w:sz w:val="20"/>
            <w:szCs w:val="20"/>
          </w:rPr>
          <w:t>Annex</w:t>
        </w:r>
      </w:hyperlink>
      <w:r>
        <w:rPr>
          <w:rFonts w:ascii="Arial" w:hAnsi="Arial" w:cs="Arial"/>
          <w:color w:val="000000"/>
          <w:sz w:val="20"/>
          <w:szCs w:val="20"/>
        </w:rPr>
        <w:t>, latest by April 1, 2023. The UCBs under Tier 3 category shall implement the same latest by October 1, 2023.</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3. This Circular shall be placed in the immediate next meeting of the Board of Directors for information and devising an implementation strategy, under the Board’s supervision, in a time-bound manner.</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Tarun</w:t>
      </w:r>
      <w:proofErr w:type="spellEnd"/>
      <w:r>
        <w:rPr>
          <w:rFonts w:ascii="Arial" w:hAnsi="Arial" w:cs="Arial"/>
          <w:color w:val="000000"/>
          <w:sz w:val="20"/>
          <w:szCs w:val="20"/>
        </w:rPr>
        <w:t xml:space="preserve"> Singh)</w:t>
      </w:r>
      <w:r>
        <w:rPr>
          <w:rFonts w:ascii="Arial" w:hAnsi="Arial" w:cs="Arial"/>
          <w:color w:val="000000"/>
          <w:sz w:val="20"/>
          <w:szCs w:val="20"/>
        </w:rPr>
        <w:br/>
        <w:t>Chief General Manager</w:t>
      </w: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r>
        <w:t>More details can be referred to in the below link.</w:t>
      </w:r>
    </w:p>
    <w:p w:rsidR="002D338D" w:rsidRDefault="002D338D" w:rsidP="002D338D">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57" w:history="1">
        <w:r w:rsidRPr="00735218">
          <w:rPr>
            <w:rStyle w:val="Hyperlink"/>
            <w:rFonts w:ascii="Arial" w:hAnsi="Arial" w:cs="Arial"/>
            <w:bCs/>
            <w:sz w:val="20"/>
            <w:szCs w:val="20"/>
          </w:rPr>
          <w:t>https://rbi.org.in/Scripts/NotificationUser.aspx?Id=12389&amp;Mode=0</w:t>
        </w:r>
      </w:hyperlink>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after="0"/>
        <w:rPr>
          <w:rFonts w:ascii="Arial" w:hAnsi="Arial" w:cs="Arial"/>
          <w:b/>
          <w:bCs/>
          <w:color w:val="000000"/>
          <w:sz w:val="20"/>
          <w:szCs w:val="20"/>
        </w:rPr>
      </w:pPr>
      <w:r>
        <w:rPr>
          <w:rFonts w:ascii="Arial" w:hAnsi="Arial" w:cs="Arial"/>
          <w:b/>
          <w:bCs/>
          <w:color w:val="000000"/>
          <w:sz w:val="20"/>
          <w:szCs w:val="20"/>
        </w:rPr>
        <w:t>Late Submission Fee for reporting delays under Foreign Exchange Management Act, 1999 (FEMA)</w:t>
      </w:r>
    </w:p>
    <w:p w:rsidR="002D338D" w:rsidRDefault="002D338D" w:rsidP="002D338D">
      <w:pPr>
        <w:spacing w:after="0"/>
        <w:rPr>
          <w:rFonts w:ascii="Arial" w:hAnsi="Arial" w:cs="Arial"/>
          <w:b/>
          <w:bCs/>
          <w:color w:val="000000"/>
          <w:sz w:val="20"/>
          <w:szCs w:val="20"/>
        </w:rPr>
      </w:pP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RBI/2022-23/122</w:t>
      </w:r>
      <w:r>
        <w:rPr>
          <w:rFonts w:ascii="Arial" w:hAnsi="Arial" w:cs="Arial"/>
          <w:color w:val="000000"/>
          <w:sz w:val="20"/>
          <w:szCs w:val="20"/>
        </w:rPr>
        <w:br/>
        <w:t>A.P. (DIR Series) Circular No. 16</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September 30, 2022</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To</w:t>
      </w:r>
      <w:r>
        <w:rPr>
          <w:rFonts w:ascii="Arial" w:hAnsi="Arial" w:cs="Arial"/>
          <w:color w:val="000000"/>
          <w:sz w:val="20"/>
          <w:szCs w:val="20"/>
        </w:rPr>
        <w:br/>
        <w:t>All Category-I Authorised Dealer Banks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Madam / Sir</w:t>
      </w:r>
    </w:p>
    <w:p w:rsidR="002D338D" w:rsidRDefault="002D338D" w:rsidP="002D338D">
      <w:pPr>
        <w:pStyle w:val="head"/>
        <w:jc w:val="center"/>
        <w:rPr>
          <w:rFonts w:ascii="Arial" w:hAnsi="Arial" w:cs="Arial"/>
          <w:b/>
          <w:bCs/>
          <w:color w:val="000000"/>
          <w:sz w:val="20"/>
          <w:szCs w:val="20"/>
        </w:rPr>
      </w:pPr>
      <w:r>
        <w:rPr>
          <w:rFonts w:ascii="Arial" w:hAnsi="Arial" w:cs="Arial"/>
          <w:b/>
          <w:bCs/>
          <w:color w:val="000000"/>
          <w:sz w:val="20"/>
          <w:szCs w:val="20"/>
        </w:rPr>
        <w:t>Late Submission Fee for reporting delays under Foreign Exchange Management Act, 1999 (FEMA)</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The Late Submission Fee (LSF) was introduced for reporting delays in Foreign Investment (FI), External Commercial Borrowings (ECBs) and Overseas Investment related transactions with effect from November 07, 2017, January 16, 2019 and August 22, 2022 respectively. It has now been decided to bring uniformity in imposition of LSF across functions. The following matrix shall be used henceforth for calculation of LSF, wherever applicable:</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5812"/>
        <w:gridCol w:w="1841"/>
      </w:tblGrid>
      <w:tr w:rsidR="002D338D" w:rsidTr="002D338D">
        <w:tc>
          <w:tcPr>
            <w:tcW w:w="498" w:type="pct"/>
            <w:tcMar>
              <w:top w:w="0" w:type="dxa"/>
              <w:left w:w="45" w:type="dxa"/>
              <w:bottom w:w="0" w:type="dxa"/>
              <w:right w:w="45" w:type="dxa"/>
            </w:tcMar>
            <w:vAlign w:val="center"/>
            <w:hideMark/>
          </w:tcPr>
          <w:p w:rsidR="002D338D" w:rsidRDefault="002D338D" w:rsidP="002D338D">
            <w:pPr>
              <w:spacing w:line="240" w:lineRule="auto"/>
              <w:jc w:val="center"/>
              <w:rPr>
                <w:rFonts w:ascii="Arial" w:hAnsi="Arial" w:cs="Arial"/>
                <w:b/>
                <w:bCs/>
                <w:color w:val="000000"/>
                <w:sz w:val="20"/>
                <w:szCs w:val="20"/>
              </w:rPr>
            </w:pPr>
            <w:r>
              <w:rPr>
                <w:rFonts w:ascii="Arial" w:hAnsi="Arial" w:cs="Arial"/>
                <w:b/>
                <w:bCs/>
                <w:color w:val="000000"/>
                <w:sz w:val="20"/>
                <w:szCs w:val="20"/>
              </w:rPr>
              <w:t>Sr. No.</w:t>
            </w:r>
          </w:p>
        </w:tc>
        <w:tc>
          <w:tcPr>
            <w:tcW w:w="3419" w:type="pct"/>
            <w:tcMar>
              <w:top w:w="0" w:type="dxa"/>
              <w:left w:w="45" w:type="dxa"/>
              <w:bottom w:w="0" w:type="dxa"/>
              <w:right w:w="45" w:type="dxa"/>
            </w:tcMar>
            <w:vAlign w:val="center"/>
            <w:hideMark/>
          </w:tcPr>
          <w:p w:rsidR="002D338D" w:rsidRDefault="002D338D" w:rsidP="002D338D">
            <w:pPr>
              <w:jc w:val="center"/>
              <w:rPr>
                <w:rFonts w:ascii="Arial" w:hAnsi="Arial" w:cs="Arial"/>
                <w:b/>
                <w:bCs/>
                <w:color w:val="000000"/>
                <w:sz w:val="20"/>
                <w:szCs w:val="20"/>
              </w:rPr>
            </w:pPr>
            <w:r>
              <w:rPr>
                <w:rFonts w:ascii="Arial" w:hAnsi="Arial" w:cs="Arial"/>
                <w:b/>
                <w:bCs/>
                <w:color w:val="000000"/>
                <w:sz w:val="20"/>
                <w:szCs w:val="20"/>
              </w:rPr>
              <w:t>Type of Reporting delays</w:t>
            </w:r>
          </w:p>
        </w:tc>
        <w:tc>
          <w:tcPr>
            <w:tcW w:w="1084" w:type="pct"/>
            <w:tcMar>
              <w:top w:w="0" w:type="dxa"/>
              <w:left w:w="45" w:type="dxa"/>
              <w:bottom w:w="0" w:type="dxa"/>
              <w:right w:w="45" w:type="dxa"/>
            </w:tcMar>
            <w:vAlign w:val="center"/>
            <w:hideMark/>
          </w:tcPr>
          <w:p w:rsidR="002D338D" w:rsidRDefault="002D338D" w:rsidP="002D338D">
            <w:pPr>
              <w:jc w:val="center"/>
              <w:rPr>
                <w:rFonts w:ascii="Arial" w:hAnsi="Arial" w:cs="Arial"/>
                <w:b/>
                <w:bCs/>
                <w:color w:val="000000"/>
                <w:sz w:val="20"/>
                <w:szCs w:val="20"/>
              </w:rPr>
            </w:pPr>
            <w:r>
              <w:rPr>
                <w:rFonts w:ascii="Arial" w:hAnsi="Arial" w:cs="Arial"/>
                <w:b/>
                <w:bCs/>
                <w:color w:val="000000"/>
                <w:sz w:val="20"/>
                <w:szCs w:val="20"/>
              </w:rPr>
              <w:t>LSF Amount (INR)</w:t>
            </w:r>
          </w:p>
        </w:tc>
      </w:tr>
      <w:tr w:rsidR="002D338D" w:rsidTr="002D338D">
        <w:tc>
          <w:tcPr>
            <w:tcW w:w="498" w:type="pct"/>
            <w:tcMar>
              <w:top w:w="0" w:type="dxa"/>
              <w:left w:w="45" w:type="dxa"/>
              <w:bottom w:w="0" w:type="dxa"/>
              <w:right w:w="45" w:type="dxa"/>
            </w:tcMar>
            <w:vAlign w:val="center"/>
            <w:hideMark/>
          </w:tcPr>
          <w:p w:rsidR="002D338D" w:rsidRDefault="002D338D" w:rsidP="002D338D">
            <w:pPr>
              <w:jc w:val="center"/>
              <w:rPr>
                <w:rFonts w:ascii="Arial" w:hAnsi="Arial" w:cs="Arial"/>
                <w:color w:val="000000"/>
                <w:sz w:val="20"/>
                <w:szCs w:val="20"/>
              </w:rPr>
            </w:pPr>
            <w:r>
              <w:rPr>
                <w:rFonts w:ascii="Arial" w:hAnsi="Arial" w:cs="Arial"/>
                <w:color w:val="000000"/>
                <w:sz w:val="20"/>
                <w:szCs w:val="20"/>
              </w:rPr>
              <w:t>1</w:t>
            </w:r>
          </w:p>
        </w:tc>
        <w:tc>
          <w:tcPr>
            <w:tcW w:w="3419" w:type="pct"/>
            <w:tcMar>
              <w:top w:w="0" w:type="dxa"/>
              <w:left w:w="45" w:type="dxa"/>
              <w:bottom w:w="0" w:type="dxa"/>
              <w:right w:w="45" w:type="dxa"/>
            </w:tcMar>
            <w:vAlign w:val="center"/>
            <w:hideMark/>
          </w:tcPr>
          <w:p w:rsidR="002D338D" w:rsidRDefault="002D338D" w:rsidP="002D338D">
            <w:pPr>
              <w:jc w:val="both"/>
              <w:rPr>
                <w:rFonts w:ascii="Arial" w:hAnsi="Arial" w:cs="Arial"/>
                <w:color w:val="000000"/>
                <w:sz w:val="20"/>
                <w:szCs w:val="20"/>
              </w:rPr>
            </w:pPr>
            <w:r>
              <w:rPr>
                <w:rFonts w:ascii="Arial" w:hAnsi="Arial" w:cs="Arial"/>
                <w:color w:val="000000"/>
                <w:sz w:val="20"/>
                <w:szCs w:val="20"/>
              </w:rPr>
              <w:t>Form ODI Part-II/ APR, FCGPR (B), FLA Returns, Form OPI, evidence of investment or any other return which does not capture flows or any other periodical reporting</w:t>
            </w:r>
          </w:p>
        </w:tc>
        <w:tc>
          <w:tcPr>
            <w:tcW w:w="1084" w:type="pct"/>
            <w:tcMar>
              <w:top w:w="0" w:type="dxa"/>
              <w:left w:w="45" w:type="dxa"/>
              <w:bottom w:w="0" w:type="dxa"/>
              <w:right w:w="45" w:type="dxa"/>
            </w:tcMar>
            <w:vAlign w:val="center"/>
            <w:hideMark/>
          </w:tcPr>
          <w:p w:rsidR="002D338D" w:rsidRDefault="002D338D" w:rsidP="002D338D">
            <w:pPr>
              <w:jc w:val="center"/>
              <w:rPr>
                <w:rFonts w:ascii="Arial" w:hAnsi="Arial" w:cs="Arial"/>
                <w:color w:val="000000"/>
                <w:sz w:val="20"/>
                <w:szCs w:val="20"/>
              </w:rPr>
            </w:pPr>
            <w:r>
              <w:rPr>
                <w:rFonts w:ascii="Arial" w:hAnsi="Arial" w:cs="Arial"/>
                <w:color w:val="000000"/>
                <w:sz w:val="20"/>
                <w:szCs w:val="20"/>
              </w:rPr>
              <w:t>7500</w:t>
            </w:r>
          </w:p>
        </w:tc>
      </w:tr>
      <w:tr w:rsidR="002D338D" w:rsidTr="002D338D">
        <w:tc>
          <w:tcPr>
            <w:tcW w:w="498" w:type="pct"/>
            <w:tcMar>
              <w:top w:w="0" w:type="dxa"/>
              <w:left w:w="45" w:type="dxa"/>
              <w:bottom w:w="0" w:type="dxa"/>
              <w:right w:w="45" w:type="dxa"/>
            </w:tcMar>
            <w:vAlign w:val="center"/>
            <w:hideMark/>
          </w:tcPr>
          <w:p w:rsidR="002D338D" w:rsidRDefault="002D338D" w:rsidP="002D338D">
            <w:pPr>
              <w:jc w:val="center"/>
              <w:rPr>
                <w:rFonts w:ascii="Arial" w:hAnsi="Arial" w:cs="Arial"/>
                <w:color w:val="000000"/>
                <w:sz w:val="20"/>
                <w:szCs w:val="20"/>
              </w:rPr>
            </w:pPr>
            <w:r>
              <w:rPr>
                <w:rFonts w:ascii="Arial" w:hAnsi="Arial" w:cs="Arial"/>
                <w:color w:val="000000"/>
                <w:sz w:val="20"/>
                <w:szCs w:val="20"/>
              </w:rPr>
              <w:t>2</w:t>
            </w:r>
          </w:p>
        </w:tc>
        <w:tc>
          <w:tcPr>
            <w:tcW w:w="3419" w:type="pct"/>
            <w:tcMar>
              <w:top w:w="0" w:type="dxa"/>
              <w:left w:w="45" w:type="dxa"/>
              <w:bottom w:w="0" w:type="dxa"/>
              <w:right w:w="45" w:type="dxa"/>
            </w:tcMar>
            <w:vAlign w:val="center"/>
            <w:hideMark/>
          </w:tcPr>
          <w:p w:rsidR="002D338D" w:rsidRDefault="002D338D" w:rsidP="002D338D">
            <w:pPr>
              <w:jc w:val="both"/>
              <w:rPr>
                <w:rFonts w:ascii="Arial" w:hAnsi="Arial" w:cs="Arial"/>
                <w:color w:val="000000"/>
                <w:sz w:val="20"/>
                <w:szCs w:val="20"/>
              </w:rPr>
            </w:pPr>
            <w:r>
              <w:rPr>
                <w:rFonts w:ascii="Arial" w:hAnsi="Arial" w:cs="Arial"/>
                <w:color w:val="000000"/>
                <w:sz w:val="20"/>
                <w:szCs w:val="20"/>
              </w:rPr>
              <w:t xml:space="preserve">FC-GPR, FCTRS, Form ESOP, Form LLP(I), Form LLP(II), Form CN, Form DI, Form </w:t>
            </w:r>
            <w:proofErr w:type="spellStart"/>
            <w:r>
              <w:rPr>
                <w:rFonts w:ascii="Arial" w:hAnsi="Arial" w:cs="Arial"/>
                <w:color w:val="000000"/>
                <w:sz w:val="20"/>
                <w:szCs w:val="20"/>
              </w:rPr>
              <w:t>InVi</w:t>
            </w:r>
            <w:proofErr w:type="spellEnd"/>
            <w:r>
              <w:rPr>
                <w:rFonts w:ascii="Arial" w:hAnsi="Arial" w:cs="Arial"/>
                <w:color w:val="000000"/>
                <w:sz w:val="20"/>
                <w:szCs w:val="20"/>
              </w:rPr>
              <w:t>, Form ODI-Part I, Form ODI-Part III, Form FC, Form ECB, Form ECB-2, Revised Form ECB or any other return which captures flows or returns which capture reporting of non-fund transactions or any other transactional reporting</w:t>
            </w:r>
          </w:p>
        </w:tc>
        <w:tc>
          <w:tcPr>
            <w:tcW w:w="1084" w:type="pct"/>
            <w:tcMar>
              <w:top w:w="0" w:type="dxa"/>
              <w:left w:w="45" w:type="dxa"/>
              <w:bottom w:w="0" w:type="dxa"/>
              <w:right w:w="45" w:type="dxa"/>
            </w:tcMar>
            <w:vAlign w:val="center"/>
            <w:hideMark/>
          </w:tcPr>
          <w:p w:rsidR="002D338D" w:rsidRDefault="002D338D" w:rsidP="002D338D">
            <w:pPr>
              <w:jc w:val="center"/>
              <w:rPr>
                <w:rFonts w:ascii="Arial" w:hAnsi="Arial" w:cs="Arial"/>
                <w:color w:val="000000"/>
                <w:sz w:val="20"/>
                <w:szCs w:val="20"/>
              </w:rPr>
            </w:pPr>
            <w:r>
              <w:rPr>
                <w:rFonts w:ascii="Arial" w:hAnsi="Arial" w:cs="Arial"/>
                <w:color w:val="000000"/>
                <w:sz w:val="20"/>
                <w:szCs w:val="20"/>
              </w:rPr>
              <w:t>[7500 + (0.025% × A × n)]</w:t>
            </w:r>
          </w:p>
        </w:tc>
      </w:tr>
    </w:tbl>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2. The above provisions shall come into effect immediately for the delayed filings made on or after the date of this circular.</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 xml:space="preserve">3. All other provisions of reporting under FEMA remain unchanged. AD Category - I </w:t>
      </w:r>
      <w:proofErr w:type="gramStart"/>
      <w:r>
        <w:rPr>
          <w:rFonts w:ascii="Arial" w:hAnsi="Arial" w:cs="Arial"/>
          <w:color w:val="000000"/>
          <w:sz w:val="20"/>
          <w:szCs w:val="20"/>
        </w:rPr>
        <w:t>banks</w:t>
      </w:r>
      <w:proofErr w:type="gramEnd"/>
      <w:r>
        <w:rPr>
          <w:rFonts w:ascii="Arial" w:hAnsi="Arial" w:cs="Arial"/>
          <w:color w:val="000000"/>
          <w:sz w:val="20"/>
          <w:szCs w:val="20"/>
        </w:rPr>
        <w:t xml:space="preserve"> should bring the contents of this circular to the notice of their constituents and customers.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4. The ‘</w:t>
      </w:r>
      <w:hyperlink r:id="rId58" w:tgtFrame="_blank" w:history="1">
        <w:r>
          <w:rPr>
            <w:rStyle w:val="Hyperlink"/>
            <w:rFonts w:ascii="Arial" w:hAnsi="Arial" w:cs="Arial"/>
            <w:sz w:val="20"/>
            <w:szCs w:val="20"/>
          </w:rPr>
          <w:t>Master Direction – Reporting under Foreign Exchange Management Act, 1999</w:t>
        </w:r>
      </w:hyperlink>
      <w:r>
        <w:rPr>
          <w:rFonts w:ascii="Arial" w:hAnsi="Arial" w:cs="Arial"/>
          <w:color w:val="000000"/>
          <w:sz w:val="20"/>
          <w:szCs w:val="20"/>
        </w:rPr>
        <w:t>’ and ‘</w:t>
      </w:r>
      <w:hyperlink r:id="rId59" w:tgtFrame="_blank" w:history="1">
        <w:r>
          <w:rPr>
            <w:rStyle w:val="Hyperlink"/>
            <w:rFonts w:ascii="Arial" w:hAnsi="Arial" w:cs="Arial"/>
            <w:sz w:val="20"/>
            <w:szCs w:val="20"/>
          </w:rPr>
          <w:t>Master Direction - External Commercial Borrowings, Trade Credits and Structured Obligations</w:t>
        </w:r>
      </w:hyperlink>
      <w:r>
        <w:rPr>
          <w:rFonts w:ascii="Arial" w:hAnsi="Arial" w:cs="Arial"/>
          <w:color w:val="000000"/>
          <w:sz w:val="20"/>
          <w:szCs w:val="20"/>
        </w:rPr>
        <w:t>’ are being updated to reflect the changes.</w:t>
      </w:r>
    </w:p>
    <w:p w:rsidR="002D338D" w:rsidRDefault="002D338D" w:rsidP="002D33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spacing w:before="0" w:beforeAutospacing="0"/>
        <w:rPr>
          <w:rFonts w:ascii="Arial" w:hAnsi="Arial" w:cs="Arial"/>
          <w:color w:val="000000"/>
          <w:sz w:val="20"/>
          <w:szCs w:val="20"/>
        </w:rPr>
      </w:pPr>
      <w:r>
        <w:rPr>
          <w:rFonts w:ascii="Arial" w:hAnsi="Arial" w:cs="Arial"/>
          <w:color w:val="000000"/>
          <w:sz w:val="20"/>
          <w:szCs w:val="20"/>
        </w:rPr>
        <w:t xml:space="preserve">Ajay Kumar </w:t>
      </w:r>
      <w:proofErr w:type="spellStart"/>
      <w:r>
        <w:rPr>
          <w:rFonts w:ascii="Arial" w:hAnsi="Arial" w:cs="Arial"/>
          <w:color w:val="000000"/>
          <w:sz w:val="20"/>
          <w:szCs w:val="20"/>
        </w:rPr>
        <w:t>Misra</w:t>
      </w:r>
      <w:proofErr w:type="spellEnd"/>
      <w:r>
        <w:rPr>
          <w:rFonts w:ascii="Arial" w:hAnsi="Arial" w:cs="Arial"/>
          <w:color w:val="000000"/>
          <w:sz w:val="20"/>
          <w:szCs w:val="20"/>
        </w:rPr>
        <w:br/>
        <w:t>Chief General Manager-in-Charge</w:t>
      </w:r>
    </w:p>
    <w:p w:rsidR="002D338D" w:rsidRDefault="002D338D" w:rsidP="002D338D">
      <w:pPr>
        <w:spacing w:after="0"/>
        <w:rPr>
          <w:rFonts w:ascii="Arial" w:hAnsi="Arial" w:cs="Arial"/>
          <w:b/>
          <w:bCs/>
          <w:color w:val="000000"/>
          <w:sz w:val="20"/>
          <w:szCs w:val="20"/>
        </w:rPr>
      </w:pPr>
    </w:p>
    <w:p w:rsidR="002D338D" w:rsidRDefault="002D338D" w:rsidP="002D338D">
      <w:pPr>
        <w:spacing w:after="0"/>
        <w:rPr>
          <w:rFonts w:ascii="Arial" w:hAnsi="Arial" w:cs="Arial"/>
          <w:b/>
          <w:bCs/>
          <w:color w:val="000000"/>
          <w:sz w:val="20"/>
          <w:szCs w:val="20"/>
        </w:rPr>
      </w:pPr>
    </w:p>
    <w:p w:rsidR="002D338D" w:rsidRPr="00435B25" w:rsidRDefault="002D338D" w:rsidP="002D338D">
      <w:pPr>
        <w:spacing w:after="0"/>
        <w:rPr>
          <w:rFonts w:ascii="Arial" w:hAnsi="Arial" w:cs="Arial"/>
          <w:sz w:val="20"/>
          <w:szCs w:val="20"/>
        </w:rPr>
      </w:pPr>
      <w:r w:rsidRPr="00435B25">
        <w:rPr>
          <w:rFonts w:ascii="Arial" w:hAnsi="Arial" w:cs="Arial"/>
          <w:sz w:val="20"/>
          <w:szCs w:val="20"/>
        </w:rPr>
        <w:t>More details can be referred to in the below link.</w:t>
      </w:r>
    </w:p>
    <w:p w:rsidR="002D338D" w:rsidRDefault="002D338D" w:rsidP="002D338D">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60" w:history="1">
        <w:r w:rsidRPr="009517FA">
          <w:rPr>
            <w:rStyle w:val="Hyperlink"/>
            <w:rFonts w:ascii="Arial" w:hAnsi="Arial" w:cs="Arial"/>
            <w:sz w:val="20"/>
            <w:szCs w:val="20"/>
          </w:rPr>
          <w:t>https://www.rbi.org.in/scripts/NotificationUser.aspx?Id=12393&amp;Mode=0</w:t>
        </w:r>
      </w:hyperlink>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b/>
          <w:bCs/>
          <w:color w:val="000000"/>
          <w:sz w:val="20"/>
          <w:szCs w:val="20"/>
        </w:rPr>
      </w:pPr>
      <w:r>
        <w:rPr>
          <w:rFonts w:ascii="Arial" w:hAnsi="Arial" w:cs="Arial"/>
          <w:b/>
          <w:bCs/>
          <w:color w:val="000000"/>
          <w:sz w:val="20"/>
          <w:szCs w:val="20"/>
        </w:rPr>
        <w:t>Appointment of Internal Ombudsman by the Credit Information Companies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RBI/2022-23/124</w:t>
      </w:r>
      <w:r>
        <w:rPr>
          <w:rFonts w:ascii="Arial" w:hAnsi="Arial" w:cs="Arial"/>
          <w:color w:val="000000"/>
          <w:sz w:val="20"/>
          <w:szCs w:val="20"/>
        </w:rPr>
        <w:br/>
        <w:t>CEPD.PRD.No.S806/13-01-008/2022-23</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October 6, 2022</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All Credit Information Companies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Madam/ Sir,</w:t>
      </w:r>
    </w:p>
    <w:p w:rsidR="002D338D" w:rsidRDefault="002D338D" w:rsidP="002D338D">
      <w:pPr>
        <w:pStyle w:val="head"/>
        <w:jc w:val="both"/>
        <w:rPr>
          <w:rFonts w:ascii="Arial" w:hAnsi="Arial" w:cs="Arial"/>
          <w:b/>
          <w:bCs/>
          <w:color w:val="000000"/>
          <w:sz w:val="20"/>
          <w:szCs w:val="20"/>
        </w:rPr>
      </w:pPr>
      <w:r>
        <w:rPr>
          <w:rFonts w:ascii="Arial" w:hAnsi="Arial" w:cs="Arial"/>
          <w:b/>
          <w:bCs/>
          <w:color w:val="000000"/>
          <w:sz w:val="20"/>
          <w:szCs w:val="20"/>
        </w:rPr>
        <w:t>Appointment of Internal Ombudsman by the Credit Information Companies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Please refer to paragraph 2 of the </w:t>
      </w:r>
      <w:hyperlink r:id="rId61" w:tgtFrame="_blank" w:history="1">
        <w:r>
          <w:rPr>
            <w:rStyle w:val="Hyperlink"/>
            <w:rFonts w:ascii="Arial" w:hAnsi="Arial" w:cs="Arial"/>
            <w:sz w:val="20"/>
            <w:szCs w:val="20"/>
          </w:rPr>
          <w:t>Statement on Developmental and Regulatory Policies dated August 5, 2022</w:t>
        </w:r>
      </w:hyperlink>
      <w:r>
        <w:rPr>
          <w:rFonts w:ascii="Arial" w:hAnsi="Arial" w:cs="Arial"/>
          <w:color w:val="000000"/>
          <w:sz w:val="20"/>
          <w:szCs w:val="20"/>
        </w:rPr>
        <w:t xml:space="preserve">, wherein the decision to bring Credit Information Companies (CICs) under the Internal Ombudsman (IO) Framework was announced with a view to strengthen and improve the efficiency of the internal grievance </w:t>
      </w:r>
      <w:proofErr w:type="spellStart"/>
      <w:r>
        <w:rPr>
          <w:rFonts w:ascii="Arial" w:hAnsi="Arial" w:cs="Arial"/>
          <w:color w:val="000000"/>
          <w:sz w:val="20"/>
          <w:szCs w:val="20"/>
        </w:rPr>
        <w:t>redressal</w:t>
      </w:r>
      <w:proofErr w:type="spellEnd"/>
      <w:r>
        <w:rPr>
          <w:rFonts w:ascii="Arial" w:hAnsi="Arial" w:cs="Arial"/>
          <w:color w:val="000000"/>
          <w:sz w:val="20"/>
          <w:szCs w:val="20"/>
        </w:rPr>
        <w:t xml:space="preserve"> mechanisms of CICs.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2. Accordingly, in exercise of the powers conferred by sub section (1) of Section 11 of the Credit Information Companies (Regulation) Act, 2005 (the Act), the Reserve Bank of India, being satisfied that it is in public interest to do so, directs all Credit Information Companies holding a Certificate of Registration under sub-section (2) of Section 5 of the Act, to comply with the Reserve Bank of India (Credit Information Companies- Internal Ombudsman) Directions, 2022 </w:t>
      </w:r>
      <w:hyperlink r:id="rId62" w:anchor="AN" w:history="1">
        <w:r>
          <w:rPr>
            <w:rStyle w:val="Hyperlink"/>
            <w:rFonts w:ascii="Arial" w:hAnsi="Arial" w:cs="Arial"/>
            <w:sz w:val="20"/>
            <w:szCs w:val="20"/>
          </w:rPr>
          <w:t>annexed</w:t>
        </w:r>
      </w:hyperlink>
      <w:r>
        <w:rPr>
          <w:rFonts w:ascii="Arial" w:hAnsi="Arial" w:cs="Arial"/>
          <w:color w:val="000000"/>
          <w:sz w:val="20"/>
          <w:szCs w:val="20"/>
        </w:rPr>
        <w:t> herewith, by April 1, 2023.</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(Anupam Sonal)</w:t>
      </w:r>
      <w:r>
        <w:rPr>
          <w:rFonts w:ascii="Arial" w:hAnsi="Arial" w:cs="Arial"/>
          <w:color w:val="000000"/>
          <w:sz w:val="20"/>
          <w:szCs w:val="20"/>
        </w:rPr>
        <w:br/>
        <w:t>Chief General Manager</w:t>
      </w:r>
    </w:p>
    <w:p w:rsidR="002D338D" w:rsidRDefault="002D338D" w:rsidP="002D338D">
      <w:pPr>
        <w:spacing w:line="259" w:lineRule="auto"/>
        <w:rPr>
          <w:rFonts w:ascii="Arial" w:hAnsi="Arial" w:cs="Arial"/>
          <w:b/>
          <w:bCs/>
          <w:color w:val="000000"/>
          <w:sz w:val="20"/>
          <w:szCs w:val="20"/>
        </w:rPr>
      </w:pPr>
    </w:p>
    <w:p w:rsidR="002D338D" w:rsidRDefault="002D338D" w:rsidP="002D338D">
      <w:pPr>
        <w:spacing w:line="259" w:lineRule="auto"/>
        <w:rPr>
          <w:rFonts w:ascii="Arial" w:hAnsi="Arial" w:cs="Arial"/>
          <w:b/>
          <w:bCs/>
          <w:color w:val="000000"/>
          <w:sz w:val="20"/>
          <w:szCs w:val="20"/>
        </w:rPr>
      </w:pPr>
    </w:p>
    <w:p w:rsidR="002D338D" w:rsidRDefault="002D338D" w:rsidP="002D338D">
      <w:pPr>
        <w:spacing w:line="259" w:lineRule="auto"/>
        <w:rPr>
          <w:rFonts w:ascii="Arial" w:hAnsi="Arial" w:cs="Arial"/>
          <w:b/>
          <w:bCs/>
          <w:color w:val="000000"/>
          <w:sz w:val="20"/>
          <w:szCs w:val="20"/>
        </w:rPr>
      </w:pPr>
    </w:p>
    <w:p w:rsidR="002D338D" w:rsidRDefault="002D338D" w:rsidP="002D338D">
      <w:pPr>
        <w:spacing w:line="259" w:lineRule="auto"/>
        <w:rPr>
          <w:rFonts w:ascii="Arial" w:hAnsi="Arial" w:cs="Arial"/>
          <w:b/>
          <w:bCs/>
          <w:color w:val="000000"/>
          <w:sz w:val="20"/>
          <w:szCs w:val="20"/>
        </w:rPr>
      </w:pPr>
    </w:p>
    <w:p w:rsidR="002D338D" w:rsidRPr="00435B25" w:rsidRDefault="002D338D" w:rsidP="002D338D">
      <w:pPr>
        <w:spacing w:after="0"/>
        <w:rPr>
          <w:rFonts w:ascii="Arial" w:hAnsi="Arial" w:cs="Arial"/>
          <w:sz w:val="20"/>
          <w:szCs w:val="20"/>
        </w:rPr>
      </w:pPr>
      <w:r w:rsidRPr="00435B25">
        <w:rPr>
          <w:rFonts w:ascii="Arial" w:hAnsi="Arial" w:cs="Arial"/>
          <w:sz w:val="20"/>
          <w:szCs w:val="20"/>
        </w:rPr>
        <w:t>More details can be referred to in the below link.</w:t>
      </w:r>
    </w:p>
    <w:p w:rsidR="002D338D" w:rsidRDefault="002D338D" w:rsidP="002D338D">
      <w:pPr>
        <w:spacing w:line="259" w:lineRule="auto"/>
        <w:rPr>
          <w:rFonts w:ascii="Arial" w:hAnsi="Arial" w:cs="Arial"/>
          <w:bCs/>
          <w:color w:val="000000"/>
          <w:sz w:val="20"/>
          <w:szCs w:val="20"/>
        </w:rPr>
      </w:pPr>
      <w:r w:rsidRPr="00435B25">
        <w:rPr>
          <w:rFonts w:ascii="Arial" w:hAnsi="Arial" w:cs="Arial"/>
          <w:sz w:val="20"/>
          <w:szCs w:val="20"/>
        </w:rPr>
        <w:t>Reference Link:</w:t>
      </w:r>
      <w:r>
        <w:rPr>
          <w:rFonts w:ascii="Arial" w:hAnsi="Arial" w:cs="Arial"/>
          <w:b/>
          <w:bCs/>
          <w:color w:val="000000"/>
          <w:sz w:val="20"/>
          <w:szCs w:val="20"/>
        </w:rPr>
        <w:t xml:space="preserve"> </w:t>
      </w:r>
      <w:hyperlink r:id="rId63" w:history="1">
        <w:r w:rsidRPr="009517FA">
          <w:rPr>
            <w:rStyle w:val="Hyperlink"/>
            <w:rFonts w:ascii="Arial" w:hAnsi="Arial" w:cs="Arial"/>
            <w:bCs/>
            <w:sz w:val="20"/>
            <w:szCs w:val="20"/>
          </w:rPr>
          <w:t>https://www.rbi.org.in/Scripts/NotificationUser.aspx?Id=12395&amp;Mode=0</w:t>
        </w:r>
      </w:hyperlink>
    </w:p>
    <w:p w:rsidR="002D338D" w:rsidRDefault="002D338D" w:rsidP="002D338D">
      <w:pPr>
        <w:spacing w:line="259" w:lineRule="auto"/>
        <w:rPr>
          <w:rFonts w:ascii="Arial" w:hAnsi="Arial" w:cs="Arial"/>
          <w:b/>
          <w:bCs/>
          <w:color w:val="000000"/>
          <w:sz w:val="20"/>
          <w:szCs w:val="20"/>
        </w:rPr>
      </w:pPr>
    </w:p>
    <w:p w:rsidR="002D338D" w:rsidRDefault="002D338D" w:rsidP="002D338D">
      <w:pPr>
        <w:spacing w:line="259" w:lineRule="auto"/>
        <w:rPr>
          <w:rFonts w:ascii="Arial" w:hAnsi="Arial" w:cs="Arial"/>
          <w:b/>
          <w:bCs/>
          <w:color w:val="000000"/>
          <w:sz w:val="20"/>
          <w:szCs w:val="20"/>
        </w:rPr>
      </w:pPr>
    </w:p>
    <w:p w:rsidR="002D338D" w:rsidRDefault="002D338D" w:rsidP="002D338D">
      <w:pPr>
        <w:spacing w:line="259" w:lineRule="auto"/>
        <w:rPr>
          <w:rFonts w:ascii="Arial" w:hAnsi="Arial" w:cs="Arial"/>
          <w:b/>
          <w:bCs/>
          <w:color w:val="000000"/>
          <w:sz w:val="20"/>
          <w:szCs w:val="20"/>
        </w:rPr>
      </w:pPr>
    </w:p>
    <w:p w:rsidR="002D338D" w:rsidRDefault="002D338D" w:rsidP="002D338D">
      <w:pPr>
        <w:spacing w:line="259" w:lineRule="auto"/>
        <w:rPr>
          <w:rFonts w:ascii="Arial" w:hAnsi="Arial" w:cs="Arial"/>
          <w:b/>
          <w:bCs/>
          <w:color w:val="000000"/>
          <w:sz w:val="20"/>
          <w:szCs w:val="20"/>
        </w:rPr>
      </w:pPr>
    </w:p>
    <w:p w:rsidR="002D338D" w:rsidRDefault="002D338D" w:rsidP="002D338D">
      <w:pPr>
        <w:spacing w:line="259" w:lineRule="auto"/>
        <w:rPr>
          <w:rFonts w:ascii="Arial" w:hAnsi="Arial" w:cs="Arial"/>
          <w:b/>
          <w:bCs/>
          <w:color w:val="000000"/>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b/>
          <w:bCs/>
          <w:color w:val="000000"/>
          <w:sz w:val="20"/>
          <w:szCs w:val="20"/>
        </w:rPr>
      </w:pPr>
      <w:r>
        <w:rPr>
          <w:rFonts w:ascii="Arial" w:hAnsi="Arial" w:cs="Arial"/>
          <w:b/>
          <w:bCs/>
          <w:color w:val="000000"/>
          <w:sz w:val="20"/>
          <w:szCs w:val="20"/>
        </w:rPr>
        <w:t>Review of Prudential Norms – Risk Weights for Exposures to Corporates and NBFCs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RBI/2022-23/125</w:t>
      </w:r>
      <w:r>
        <w:rPr>
          <w:rFonts w:ascii="Arial" w:hAnsi="Arial" w:cs="Arial"/>
          <w:color w:val="000000"/>
          <w:sz w:val="20"/>
          <w:szCs w:val="20"/>
        </w:rPr>
        <w:br/>
        <w:t>DOR.STR.REC.71/21.06.201/2022-23</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October 10, 2022</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(including Small Finance Banks)</w:t>
      </w:r>
      <w:r>
        <w:rPr>
          <w:rFonts w:ascii="Arial" w:hAnsi="Arial" w:cs="Arial"/>
          <w:color w:val="000000"/>
          <w:sz w:val="20"/>
          <w:szCs w:val="20"/>
        </w:rPr>
        <w:br/>
        <w:t>(Excluding Local Area Banks, Regional Rural Banks and Payments Banks)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Madam/Dear Sir,</w:t>
      </w:r>
    </w:p>
    <w:p w:rsidR="002D338D" w:rsidRDefault="002D338D" w:rsidP="002D338D">
      <w:pPr>
        <w:pStyle w:val="head"/>
        <w:jc w:val="both"/>
        <w:rPr>
          <w:rFonts w:ascii="Arial" w:hAnsi="Arial" w:cs="Arial"/>
          <w:b/>
          <w:bCs/>
          <w:color w:val="000000"/>
          <w:sz w:val="20"/>
          <w:szCs w:val="20"/>
        </w:rPr>
      </w:pPr>
      <w:r>
        <w:rPr>
          <w:rFonts w:ascii="Arial" w:hAnsi="Arial" w:cs="Arial"/>
          <w:b/>
          <w:bCs/>
          <w:color w:val="000000"/>
          <w:sz w:val="20"/>
          <w:szCs w:val="20"/>
        </w:rPr>
        <w:t>Review of Prudential Norms – Risk Weights for Exposures to Corporates and NBFCs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Please refer to paragraph 6.8.1 (i) of </w:t>
      </w:r>
      <w:hyperlink r:id="rId64" w:tgtFrame="_blank" w:history="1">
        <w:r>
          <w:rPr>
            <w:rStyle w:val="Hyperlink"/>
            <w:rFonts w:ascii="Arial" w:hAnsi="Arial" w:cs="Arial"/>
            <w:sz w:val="20"/>
            <w:szCs w:val="20"/>
          </w:rPr>
          <w:t>Master Circular on Basel III capital regulations dated April 1, 2022</w:t>
        </w:r>
      </w:hyperlink>
      <w:r>
        <w:rPr>
          <w:rFonts w:ascii="Arial" w:hAnsi="Arial" w:cs="Arial"/>
          <w:color w:val="000000"/>
          <w:sz w:val="20"/>
          <w:szCs w:val="20"/>
        </w:rPr>
        <w:t xml:space="preserve"> in terms of which banks are permitted to derive risk weights for their unrated exposures based on the ratings available for a specific rated debt subject to the conditions specified that the bank’s facility ranks </w:t>
      </w:r>
      <w:proofErr w:type="spellStart"/>
      <w:r>
        <w:rPr>
          <w:rFonts w:ascii="Arial" w:hAnsi="Arial" w:cs="Arial"/>
          <w:color w:val="000000"/>
          <w:sz w:val="20"/>
          <w:szCs w:val="20"/>
        </w:rPr>
        <w:t>pari</w:t>
      </w:r>
      <w:proofErr w:type="spellEnd"/>
      <w:r>
        <w:rPr>
          <w:rFonts w:ascii="Arial" w:hAnsi="Arial" w:cs="Arial"/>
          <w:color w:val="000000"/>
          <w:sz w:val="20"/>
          <w:szCs w:val="20"/>
        </w:rPr>
        <w:t xml:space="preserve"> </w:t>
      </w:r>
      <w:proofErr w:type="spellStart"/>
      <w:r>
        <w:rPr>
          <w:rFonts w:ascii="Arial" w:hAnsi="Arial" w:cs="Arial"/>
          <w:color w:val="000000"/>
          <w:sz w:val="20"/>
          <w:szCs w:val="20"/>
        </w:rPr>
        <w:t>passu</w:t>
      </w:r>
      <w:proofErr w:type="spellEnd"/>
      <w:r>
        <w:rPr>
          <w:rFonts w:ascii="Arial" w:hAnsi="Arial" w:cs="Arial"/>
          <w:color w:val="000000"/>
          <w:sz w:val="20"/>
          <w:szCs w:val="20"/>
        </w:rPr>
        <w:t xml:space="preserve"> or senior to the specific rated debt in all respects and the maturity of the unassessed claim is not later than the maturity of the rated claim. Banks may also refer to paragraph 6.2.5 of the Master Circular ibid regarding publication of bank loan ratings by External Credit Assessment Institutions (ECAIs).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 xml:space="preserve">2. It is observed that the Press Releases (PRs) issued by ECAIs on rating actions are often devoid of the lenders’ details. Absence of such information may result in banks applying the derived risk weights for unrated exposures, without satisfying themselves regarding adherence to prescribed conditions. This may, consequentially, lead to potentially lower provision of capital as well as </w:t>
      </w:r>
      <w:proofErr w:type="spellStart"/>
      <w:r>
        <w:rPr>
          <w:rFonts w:ascii="Arial" w:hAnsi="Arial" w:cs="Arial"/>
          <w:color w:val="000000"/>
          <w:sz w:val="20"/>
          <w:szCs w:val="20"/>
        </w:rPr>
        <w:t>underpricing</w:t>
      </w:r>
      <w:proofErr w:type="spellEnd"/>
      <w:r>
        <w:rPr>
          <w:rFonts w:ascii="Arial" w:hAnsi="Arial" w:cs="Arial"/>
          <w:color w:val="000000"/>
          <w:sz w:val="20"/>
          <w:szCs w:val="20"/>
        </w:rPr>
        <w:t xml:space="preserve"> of risks. In order to address the above information asymmetry, the Reserve Bank had advised the ECAIs vide letter dated June 4, 2021 to disclose the name of the banks and the corresponding credit facilities rated by them in the PRs issued on rating actions by August 31, 2021, after obtaining requisite consent from the borrowers.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3. However, on a review it has been observed that the above disclosures are not available in a large number of PRs issued by ECAIs owing to the absence of requisite consent by the borrowers to the ECAIs. It is, therefore, advised that a bank loan rating without the above disclosure by the ECAI shall not be eligible for being reckoned for capital computation by banks. Banks shall treat such exposures as unrated and assign applicable risk weights in terms of paragraph 5.8.1 of the Master Circular ibid read with amendments carried out from time to time.</w:t>
      </w:r>
    </w:p>
    <w:p w:rsidR="002D338D" w:rsidRDefault="002D338D" w:rsidP="002D338D">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r>
        <w:t>More details can be referred to in the below link.</w:t>
      </w:r>
    </w:p>
    <w:p w:rsidR="002D338D" w:rsidRDefault="002D338D" w:rsidP="002D338D">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65" w:history="1">
        <w:r w:rsidRPr="00B27270">
          <w:rPr>
            <w:rStyle w:val="Hyperlink"/>
            <w:rFonts w:ascii="Arial" w:hAnsi="Arial" w:cs="Arial"/>
            <w:bCs/>
            <w:sz w:val="20"/>
            <w:szCs w:val="20"/>
          </w:rPr>
          <w:t>https://www.rbi.org.in/Scripts/NotificationUser.aspx?Id=12396&amp;Mode=0</w:t>
        </w:r>
      </w:hyperlink>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b/>
          <w:bCs/>
          <w:color w:val="000000"/>
          <w:sz w:val="20"/>
          <w:szCs w:val="20"/>
        </w:rPr>
      </w:pPr>
      <w:r>
        <w:rPr>
          <w:rFonts w:ascii="Arial" w:hAnsi="Arial" w:cs="Arial"/>
          <w:b/>
          <w:bCs/>
          <w:color w:val="000000"/>
          <w:sz w:val="20"/>
          <w:szCs w:val="20"/>
        </w:rPr>
        <w:t>Review of Regulatory Framework for Asset Reconstruction Companies (ARCs)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RBI/2022-23/128</w:t>
      </w:r>
      <w:r>
        <w:rPr>
          <w:rFonts w:ascii="Arial" w:hAnsi="Arial" w:cs="Arial"/>
          <w:color w:val="000000"/>
          <w:sz w:val="20"/>
          <w:szCs w:val="20"/>
        </w:rPr>
        <w:br/>
        <w:t>DoR.SIG.FIN.REC.75/26.03.001/2022-23</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October 11, 2022</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All Asset Reconstruction Companies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Dear Sir/ Madam,</w:t>
      </w:r>
    </w:p>
    <w:p w:rsidR="002D338D" w:rsidRDefault="002D338D" w:rsidP="002D338D">
      <w:pPr>
        <w:pStyle w:val="head"/>
        <w:jc w:val="both"/>
        <w:rPr>
          <w:rFonts w:ascii="Arial" w:hAnsi="Arial" w:cs="Arial"/>
          <w:b/>
          <w:bCs/>
          <w:color w:val="000000"/>
          <w:sz w:val="20"/>
          <w:szCs w:val="20"/>
        </w:rPr>
      </w:pPr>
      <w:r>
        <w:rPr>
          <w:rFonts w:ascii="Arial" w:hAnsi="Arial" w:cs="Arial"/>
          <w:b/>
          <w:bCs/>
          <w:color w:val="000000"/>
          <w:sz w:val="20"/>
          <w:szCs w:val="20"/>
        </w:rPr>
        <w:t>Review of Regulatory Framework for Asset Reconstruction Companies (ARCs)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ARCs play a vital role in the management of distressed financial assets of banks and financial institutions. Considering their critical role, a need was felt to review their functioning and operating framework. Accordingly, as part of the </w:t>
      </w:r>
      <w:hyperlink r:id="rId66" w:tgtFrame="_blank" w:history="1">
        <w:r>
          <w:rPr>
            <w:rStyle w:val="Hyperlink"/>
            <w:rFonts w:ascii="Arial" w:hAnsi="Arial" w:cs="Arial"/>
            <w:sz w:val="20"/>
            <w:szCs w:val="20"/>
          </w:rPr>
          <w:t>Statement on Developmental and Regulatory Policies</w:t>
        </w:r>
      </w:hyperlink>
      <w:r>
        <w:rPr>
          <w:rFonts w:ascii="Arial" w:hAnsi="Arial" w:cs="Arial"/>
          <w:color w:val="000000"/>
          <w:sz w:val="20"/>
          <w:szCs w:val="20"/>
        </w:rPr>
        <w:t> released along with the </w:t>
      </w:r>
      <w:hyperlink r:id="rId67" w:tgtFrame="_blank" w:history="1">
        <w:r>
          <w:rPr>
            <w:rStyle w:val="Hyperlink"/>
            <w:rFonts w:ascii="Arial" w:hAnsi="Arial" w:cs="Arial"/>
            <w:sz w:val="20"/>
            <w:szCs w:val="20"/>
          </w:rPr>
          <w:t>Monetary Policy Statement on April 7, 2021</w:t>
        </w:r>
      </w:hyperlink>
      <w:r>
        <w:rPr>
          <w:rFonts w:ascii="Arial" w:hAnsi="Arial" w:cs="Arial"/>
          <w:color w:val="000000"/>
          <w:sz w:val="20"/>
          <w:szCs w:val="20"/>
        </w:rPr>
        <w:t>, the Reserve Bank of India had set up a Committee to undertake a comprehensive review of the working of ARCs and recommend suitable measures for enabling them to function in a more transparent and efficient manner.</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2. Based on the Committee’s recommendations and feedback from the stakeholders, the extant regulatory framework for ARCs has been amended as detailed in the </w:t>
      </w:r>
      <w:hyperlink r:id="rId68" w:anchor="AN1" w:history="1">
        <w:r>
          <w:rPr>
            <w:rStyle w:val="Hyperlink"/>
            <w:rFonts w:ascii="Arial" w:hAnsi="Arial" w:cs="Arial"/>
            <w:sz w:val="20"/>
            <w:szCs w:val="20"/>
          </w:rPr>
          <w:t>Annex</w:t>
        </w:r>
      </w:hyperlink>
      <w:r>
        <w:rPr>
          <w:rFonts w:ascii="Arial" w:hAnsi="Arial" w:cs="Arial"/>
          <w:color w:val="000000"/>
          <w:sz w:val="20"/>
          <w:szCs w:val="20"/>
        </w:rPr>
        <w:t>.</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3. These guidelines shall be effective immediately or as indicated otherwise in the </w:t>
      </w:r>
      <w:hyperlink r:id="rId69" w:anchor="AN1" w:history="1">
        <w:r>
          <w:rPr>
            <w:rStyle w:val="Hyperlink"/>
            <w:rFonts w:ascii="Arial" w:hAnsi="Arial" w:cs="Arial"/>
            <w:sz w:val="20"/>
            <w:szCs w:val="20"/>
          </w:rPr>
          <w:t>Annex</w:t>
        </w:r>
      </w:hyperlink>
      <w:r>
        <w:rPr>
          <w:rFonts w:ascii="Arial" w:hAnsi="Arial" w:cs="Arial"/>
          <w:color w:val="000000"/>
          <w:sz w:val="20"/>
          <w:szCs w:val="20"/>
        </w:rPr>
        <w:t>.</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r>
        <w:t>More details can be referred to in the below link.</w:t>
      </w:r>
    </w:p>
    <w:p w:rsidR="002D338D" w:rsidRDefault="002D338D" w:rsidP="002D338D">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70" w:history="1">
        <w:r w:rsidRPr="0062290B">
          <w:rPr>
            <w:rStyle w:val="Hyperlink"/>
            <w:rFonts w:ascii="Arial" w:hAnsi="Arial" w:cs="Arial"/>
            <w:bCs/>
            <w:sz w:val="20"/>
            <w:szCs w:val="20"/>
          </w:rPr>
          <w:t>https://m.rbi.org.in/Scripts/BS_CircularIndexDisplay.aspx?Id=12399</w:t>
        </w:r>
      </w:hyperlink>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 of Divergence in Asset Classification and Provisioning</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RBI/2022-23/130</w:t>
      </w:r>
      <w:r>
        <w:rPr>
          <w:rFonts w:ascii="Arial" w:hAnsi="Arial" w:cs="Arial"/>
          <w:color w:val="000000"/>
          <w:sz w:val="20"/>
          <w:szCs w:val="20"/>
        </w:rPr>
        <w:br/>
        <w:t>DOR.ACC.REC.No.74/21.04.018/2022-23</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October 11, 2022</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Madam / Dear Sir,</w:t>
      </w:r>
    </w:p>
    <w:p w:rsidR="002D338D" w:rsidRDefault="002D338D" w:rsidP="002D338D">
      <w:pPr>
        <w:pStyle w:val="head"/>
        <w:jc w:val="both"/>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 of Divergence in Asset Classification and Provisioning</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In terms of paragraph C.4(e) of Annexure III to the </w:t>
      </w:r>
      <w:hyperlink r:id="rId71" w:tgtFrame="_blank" w:history="1">
        <w:r>
          <w:rPr>
            <w:rStyle w:val="Hyperlink"/>
            <w:rFonts w:ascii="Arial" w:hAnsi="Arial" w:cs="Arial"/>
            <w:sz w:val="20"/>
            <w:szCs w:val="20"/>
          </w:rPr>
          <w:t>Reserve Bank of India (Financial Statements-Presentation and Disclosures) Directions, 2021</w:t>
        </w:r>
      </w:hyperlink>
      <w:r>
        <w:rPr>
          <w:rFonts w:ascii="Arial" w:hAnsi="Arial" w:cs="Arial"/>
          <w:color w:val="000000"/>
          <w:sz w:val="20"/>
          <w:szCs w:val="20"/>
        </w:rPr>
        <w:t>, commercial banks (excluding Regional Rural Banks (RRBs)) are required to disclose details of divergence in asset classification and provisioning where such divergence assessed by the Reserve Bank of India (RBI) exceeds certain specified thresholds. In order to strengthen compliance with income recognition, asset classification and provisioning norms, it has now been decided to introduce similar disclosure requirements for Primary (Urban) Co-operative Banks (UCBs) and revise the specified thresholds for commercial banks.</w:t>
      </w:r>
    </w:p>
    <w:p w:rsidR="002D338D" w:rsidRDefault="002D338D" w:rsidP="002D338D">
      <w:pPr>
        <w:pStyle w:val="NormalWeb"/>
        <w:spacing w:after="0" w:afterAutospacing="0"/>
        <w:jc w:val="both"/>
        <w:rPr>
          <w:rFonts w:ascii="Arial" w:hAnsi="Arial" w:cs="Arial"/>
          <w:color w:val="000000"/>
          <w:sz w:val="20"/>
          <w:szCs w:val="20"/>
        </w:rPr>
      </w:pPr>
      <w:r>
        <w:rPr>
          <w:rFonts w:ascii="Arial" w:hAnsi="Arial" w:cs="Arial"/>
          <w:color w:val="000000"/>
          <w:sz w:val="20"/>
          <w:szCs w:val="20"/>
        </w:rPr>
        <w:t>2. Accordingly, for the financial statements for the year ending March 31, 2023, banks shall make suitable disclosures in the manner specified in paragraph C.4(e) of Annex III to the afore-mentioned Directions, if either or both of the following conditions are satisfied:</w:t>
      </w:r>
    </w:p>
    <w:p w:rsidR="002D338D" w:rsidRDefault="002D338D" w:rsidP="002D338D">
      <w:pPr>
        <w:pStyle w:val="NormalWeb"/>
        <w:numPr>
          <w:ilvl w:val="0"/>
          <w:numId w:val="31"/>
        </w:numPr>
        <w:ind w:left="0"/>
        <w:jc w:val="both"/>
        <w:rPr>
          <w:rFonts w:ascii="Arial" w:hAnsi="Arial" w:cs="Arial"/>
          <w:color w:val="000000"/>
          <w:sz w:val="20"/>
          <w:szCs w:val="20"/>
        </w:rPr>
      </w:pPr>
      <w:r>
        <w:rPr>
          <w:rFonts w:ascii="Arial" w:hAnsi="Arial" w:cs="Arial"/>
          <w:color w:val="000000"/>
          <w:sz w:val="20"/>
          <w:szCs w:val="20"/>
        </w:rPr>
        <w:t>the additional provisioning for non-performing assets (NPAs) assessed by the RBI exceeds 10 per cent of the reported profit before provisions and contingencies</w:t>
      </w:r>
      <w:hyperlink r:id="rId72" w:anchor="F1" w:history="1">
        <w:r>
          <w:rPr>
            <w:rStyle w:val="Hyperlink"/>
            <w:rFonts w:ascii="Arial" w:hAnsi="Arial" w:cs="Arial"/>
            <w:sz w:val="15"/>
            <w:szCs w:val="15"/>
            <w:vertAlign w:val="superscript"/>
          </w:rPr>
          <w:t>1</w:t>
        </w:r>
      </w:hyperlink>
      <w:r>
        <w:rPr>
          <w:rFonts w:ascii="Arial" w:hAnsi="Arial" w:cs="Arial"/>
          <w:color w:val="000000"/>
          <w:sz w:val="20"/>
          <w:szCs w:val="20"/>
        </w:rPr>
        <w:t> for the reference period; and</w:t>
      </w:r>
    </w:p>
    <w:p w:rsidR="002D338D" w:rsidRDefault="002D338D" w:rsidP="002D338D">
      <w:pPr>
        <w:pStyle w:val="NormalWeb"/>
        <w:numPr>
          <w:ilvl w:val="0"/>
          <w:numId w:val="31"/>
        </w:numPr>
        <w:spacing w:before="0" w:beforeAutospacing="0" w:after="0" w:afterAutospacing="0"/>
        <w:ind w:left="0"/>
        <w:jc w:val="both"/>
        <w:rPr>
          <w:rFonts w:ascii="Arial" w:hAnsi="Arial" w:cs="Arial"/>
          <w:color w:val="000000"/>
          <w:sz w:val="20"/>
          <w:szCs w:val="20"/>
        </w:rPr>
      </w:pPr>
      <w:r>
        <w:rPr>
          <w:rFonts w:ascii="Arial" w:hAnsi="Arial" w:cs="Arial"/>
          <w:color w:val="000000"/>
          <w:sz w:val="20"/>
          <w:szCs w:val="20"/>
        </w:rPr>
        <w:t>the additional Gross NPAs identified by the RBI exceed 10 per cent of the reported</w:t>
      </w:r>
      <w:hyperlink r:id="rId73" w:anchor="F2" w:history="1">
        <w:r>
          <w:rPr>
            <w:rStyle w:val="Hyperlink"/>
            <w:rFonts w:ascii="Arial" w:hAnsi="Arial" w:cs="Arial"/>
            <w:sz w:val="15"/>
            <w:szCs w:val="15"/>
            <w:vertAlign w:val="superscript"/>
          </w:rPr>
          <w:t>2</w:t>
        </w:r>
      </w:hyperlink>
      <w:r>
        <w:rPr>
          <w:rFonts w:ascii="Arial" w:hAnsi="Arial" w:cs="Arial"/>
          <w:color w:val="000000"/>
          <w:sz w:val="20"/>
          <w:szCs w:val="20"/>
        </w:rPr>
        <w:t> incremental Gross NPAs for the reference period.</w:t>
      </w:r>
    </w:p>
    <w:p w:rsidR="002D338D" w:rsidRDefault="002D338D" w:rsidP="002D338D">
      <w:pPr>
        <w:pStyle w:val="NormalWeb"/>
        <w:spacing w:before="0" w:beforeAutospacing="0"/>
        <w:jc w:val="both"/>
        <w:rPr>
          <w:rFonts w:ascii="Arial" w:hAnsi="Arial" w:cs="Arial"/>
          <w:color w:val="000000"/>
          <w:sz w:val="20"/>
          <w:szCs w:val="20"/>
        </w:rPr>
      </w:pPr>
      <w:r>
        <w:rPr>
          <w:rFonts w:ascii="Arial" w:hAnsi="Arial" w:cs="Arial"/>
          <w:color w:val="000000"/>
          <w:sz w:val="20"/>
          <w:szCs w:val="20"/>
        </w:rPr>
        <w:t>Provided further that in the case of UCBs the threshold for reported incremental Gross NPAs specified in paragraph 2(b) above shall be 15 per cent, which shall be reduced progressively in a phased manner, after review.</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3. The thresholds specified in paragraph (2) above shall be revised for disclosures in annual financial statements for the year ending March 31, 2024, and onwards, as under:</w:t>
      </w:r>
    </w:p>
    <w:tbl>
      <w:tblPr>
        <w:tblW w:w="54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0"/>
        <w:gridCol w:w="4682"/>
        <w:gridCol w:w="2694"/>
        <w:gridCol w:w="1859"/>
      </w:tblGrid>
      <w:tr w:rsidR="002D338D" w:rsidTr="002D338D">
        <w:trPr>
          <w:trHeight w:val="437"/>
          <w:jc w:val="center"/>
        </w:trPr>
        <w:tc>
          <w:tcPr>
            <w:tcW w:w="286" w:type="pct"/>
            <w:tcMar>
              <w:top w:w="0" w:type="dxa"/>
              <w:left w:w="45" w:type="dxa"/>
              <w:bottom w:w="0" w:type="dxa"/>
              <w:right w:w="45" w:type="dxa"/>
            </w:tcMar>
            <w:vAlign w:val="center"/>
            <w:hideMark/>
          </w:tcPr>
          <w:p w:rsidR="002D338D" w:rsidRDefault="002D338D" w:rsidP="002D338D">
            <w:pPr>
              <w:jc w:val="center"/>
              <w:rPr>
                <w:rFonts w:ascii="Arial" w:hAnsi="Arial" w:cs="Arial"/>
                <w:b/>
                <w:bCs/>
                <w:color w:val="000000"/>
                <w:sz w:val="20"/>
                <w:szCs w:val="20"/>
              </w:rPr>
            </w:pPr>
            <w:r>
              <w:rPr>
                <w:rFonts w:ascii="Arial" w:hAnsi="Arial" w:cs="Arial"/>
                <w:b/>
                <w:bCs/>
                <w:color w:val="000000"/>
                <w:sz w:val="20"/>
                <w:szCs w:val="20"/>
              </w:rPr>
              <w:t>Ref.</w:t>
            </w:r>
          </w:p>
        </w:tc>
        <w:tc>
          <w:tcPr>
            <w:tcW w:w="2390" w:type="pct"/>
            <w:tcMar>
              <w:top w:w="0" w:type="dxa"/>
              <w:left w:w="45" w:type="dxa"/>
              <w:bottom w:w="0" w:type="dxa"/>
              <w:right w:w="45" w:type="dxa"/>
            </w:tcMar>
            <w:vAlign w:val="center"/>
            <w:hideMark/>
          </w:tcPr>
          <w:p w:rsidR="002D338D" w:rsidRDefault="002D338D" w:rsidP="002D338D">
            <w:pPr>
              <w:jc w:val="center"/>
              <w:rPr>
                <w:rFonts w:ascii="Arial" w:hAnsi="Arial" w:cs="Arial"/>
                <w:b/>
                <w:bCs/>
                <w:color w:val="000000"/>
                <w:sz w:val="20"/>
                <w:szCs w:val="20"/>
              </w:rPr>
            </w:pPr>
            <w:r>
              <w:rPr>
                <w:rFonts w:ascii="Arial" w:hAnsi="Arial" w:cs="Arial"/>
                <w:b/>
                <w:bCs/>
                <w:color w:val="000000"/>
                <w:sz w:val="20"/>
                <w:szCs w:val="20"/>
              </w:rPr>
              <w:t>Threshold linked to:</w:t>
            </w:r>
          </w:p>
        </w:tc>
        <w:tc>
          <w:tcPr>
            <w:tcW w:w="1375" w:type="pct"/>
            <w:tcMar>
              <w:top w:w="0" w:type="dxa"/>
              <w:left w:w="45" w:type="dxa"/>
              <w:bottom w:w="0" w:type="dxa"/>
              <w:right w:w="45" w:type="dxa"/>
            </w:tcMar>
            <w:vAlign w:val="center"/>
            <w:hideMark/>
          </w:tcPr>
          <w:p w:rsidR="002D338D" w:rsidRDefault="002D338D" w:rsidP="002D338D">
            <w:pPr>
              <w:jc w:val="center"/>
              <w:rPr>
                <w:rFonts w:ascii="Arial" w:hAnsi="Arial" w:cs="Arial"/>
                <w:b/>
                <w:bCs/>
                <w:color w:val="000000"/>
                <w:sz w:val="20"/>
                <w:szCs w:val="20"/>
              </w:rPr>
            </w:pPr>
            <w:r>
              <w:rPr>
                <w:rFonts w:ascii="Arial" w:hAnsi="Arial" w:cs="Arial"/>
                <w:b/>
                <w:bCs/>
                <w:color w:val="000000"/>
                <w:sz w:val="20"/>
                <w:szCs w:val="20"/>
              </w:rPr>
              <w:t>Commercial Banks (%)</w:t>
            </w:r>
          </w:p>
        </w:tc>
        <w:tc>
          <w:tcPr>
            <w:tcW w:w="949" w:type="pct"/>
            <w:tcMar>
              <w:top w:w="0" w:type="dxa"/>
              <w:left w:w="45" w:type="dxa"/>
              <w:bottom w:w="0" w:type="dxa"/>
              <w:right w:w="45" w:type="dxa"/>
            </w:tcMar>
            <w:vAlign w:val="center"/>
            <w:hideMark/>
          </w:tcPr>
          <w:p w:rsidR="002D338D" w:rsidRDefault="002D338D" w:rsidP="002D338D">
            <w:pPr>
              <w:jc w:val="center"/>
              <w:rPr>
                <w:rFonts w:ascii="Arial" w:hAnsi="Arial" w:cs="Arial"/>
                <w:b/>
                <w:bCs/>
                <w:color w:val="000000"/>
                <w:sz w:val="20"/>
                <w:szCs w:val="20"/>
              </w:rPr>
            </w:pPr>
            <w:r>
              <w:rPr>
                <w:rFonts w:ascii="Arial" w:hAnsi="Arial" w:cs="Arial"/>
                <w:b/>
                <w:bCs/>
                <w:color w:val="000000"/>
                <w:sz w:val="20"/>
                <w:szCs w:val="20"/>
              </w:rPr>
              <w:t>UCBs (%)</w:t>
            </w:r>
          </w:p>
        </w:tc>
      </w:tr>
      <w:tr w:rsidR="002D338D" w:rsidTr="002D338D">
        <w:trPr>
          <w:trHeight w:val="442"/>
          <w:jc w:val="center"/>
        </w:trPr>
        <w:tc>
          <w:tcPr>
            <w:tcW w:w="286" w:type="pct"/>
            <w:tcMar>
              <w:top w:w="0" w:type="dxa"/>
              <w:left w:w="45" w:type="dxa"/>
              <w:bottom w:w="0" w:type="dxa"/>
              <w:right w:w="45" w:type="dxa"/>
            </w:tcMar>
            <w:vAlign w:val="center"/>
            <w:hideMark/>
          </w:tcPr>
          <w:p w:rsidR="002D338D" w:rsidRDefault="002D338D" w:rsidP="002D338D">
            <w:pPr>
              <w:jc w:val="center"/>
              <w:rPr>
                <w:rFonts w:ascii="Arial" w:hAnsi="Arial" w:cs="Arial"/>
                <w:color w:val="000000"/>
                <w:sz w:val="20"/>
                <w:szCs w:val="20"/>
              </w:rPr>
            </w:pPr>
            <w:r>
              <w:rPr>
                <w:rFonts w:ascii="Arial" w:hAnsi="Arial" w:cs="Arial"/>
                <w:color w:val="000000"/>
                <w:sz w:val="20"/>
                <w:szCs w:val="20"/>
              </w:rPr>
              <w:t>2(a)</w:t>
            </w:r>
          </w:p>
        </w:tc>
        <w:tc>
          <w:tcPr>
            <w:tcW w:w="2390" w:type="pct"/>
            <w:tcMar>
              <w:top w:w="0" w:type="dxa"/>
              <w:left w:w="45" w:type="dxa"/>
              <w:bottom w:w="0" w:type="dxa"/>
              <w:right w:w="45" w:type="dxa"/>
            </w:tcMar>
            <w:vAlign w:val="center"/>
            <w:hideMark/>
          </w:tcPr>
          <w:p w:rsidR="002D338D" w:rsidRDefault="002D338D" w:rsidP="002D338D">
            <w:pPr>
              <w:jc w:val="both"/>
              <w:rPr>
                <w:rFonts w:ascii="Arial" w:hAnsi="Arial" w:cs="Arial"/>
                <w:color w:val="000000"/>
                <w:sz w:val="20"/>
                <w:szCs w:val="20"/>
              </w:rPr>
            </w:pPr>
            <w:r>
              <w:rPr>
                <w:rFonts w:ascii="Arial" w:hAnsi="Arial" w:cs="Arial"/>
                <w:color w:val="000000"/>
                <w:sz w:val="20"/>
                <w:szCs w:val="20"/>
              </w:rPr>
              <w:t>Reported profit before provisions and contingencies</w:t>
            </w:r>
          </w:p>
        </w:tc>
        <w:tc>
          <w:tcPr>
            <w:tcW w:w="1375" w:type="pct"/>
            <w:tcMar>
              <w:top w:w="0" w:type="dxa"/>
              <w:left w:w="45" w:type="dxa"/>
              <w:bottom w:w="0" w:type="dxa"/>
              <w:right w:w="45" w:type="dxa"/>
            </w:tcMar>
            <w:vAlign w:val="center"/>
            <w:hideMark/>
          </w:tcPr>
          <w:p w:rsidR="002D338D" w:rsidRDefault="002D338D" w:rsidP="002D338D">
            <w:pPr>
              <w:jc w:val="center"/>
              <w:rPr>
                <w:rFonts w:ascii="Arial" w:hAnsi="Arial" w:cs="Arial"/>
                <w:color w:val="000000"/>
                <w:sz w:val="20"/>
                <w:szCs w:val="20"/>
              </w:rPr>
            </w:pPr>
            <w:r>
              <w:rPr>
                <w:rFonts w:ascii="Arial" w:hAnsi="Arial" w:cs="Arial"/>
                <w:color w:val="000000"/>
                <w:sz w:val="20"/>
                <w:szCs w:val="20"/>
              </w:rPr>
              <w:t>5</w:t>
            </w:r>
          </w:p>
        </w:tc>
        <w:tc>
          <w:tcPr>
            <w:tcW w:w="949" w:type="pct"/>
            <w:tcMar>
              <w:top w:w="0" w:type="dxa"/>
              <w:left w:w="45" w:type="dxa"/>
              <w:bottom w:w="0" w:type="dxa"/>
              <w:right w:w="45" w:type="dxa"/>
            </w:tcMar>
            <w:vAlign w:val="center"/>
            <w:hideMark/>
          </w:tcPr>
          <w:p w:rsidR="002D338D" w:rsidRDefault="002D338D" w:rsidP="002D338D">
            <w:pPr>
              <w:jc w:val="center"/>
              <w:rPr>
                <w:rFonts w:ascii="Arial" w:hAnsi="Arial" w:cs="Arial"/>
                <w:color w:val="000000"/>
                <w:sz w:val="20"/>
                <w:szCs w:val="20"/>
              </w:rPr>
            </w:pPr>
            <w:r>
              <w:rPr>
                <w:rFonts w:ascii="Arial" w:hAnsi="Arial" w:cs="Arial"/>
                <w:color w:val="000000"/>
                <w:sz w:val="20"/>
                <w:szCs w:val="20"/>
              </w:rPr>
              <w:t>5</w:t>
            </w:r>
          </w:p>
        </w:tc>
      </w:tr>
      <w:tr w:rsidR="002D338D" w:rsidTr="002D338D">
        <w:trPr>
          <w:trHeight w:val="273"/>
          <w:jc w:val="center"/>
        </w:trPr>
        <w:tc>
          <w:tcPr>
            <w:tcW w:w="286" w:type="pct"/>
            <w:tcMar>
              <w:top w:w="0" w:type="dxa"/>
              <w:left w:w="45" w:type="dxa"/>
              <w:bottom w:w="0" w:type="dxa"/>
              <w:right w:w="45" w:type="dxa"/>
            </w:tcMar>
            <w:vAlign w:val="center"/>
            <w:hideMark/>
          </w:tcPr>
          <w:p w:rsidR="002D338D" w:rsidRDefault="002D338D" w:rsidP="002D338D">
            <w:pPr>
              <w:jc w:val="center"/>
              <w:rPr>
                <w:rFonts w:ascii="Arial" w:hAnsi="Arial" w:cs="Arial"/>
                <w:color w:val="000000"/>
                <w:sz w:val="20"/>
                <w:szCs w:val="20"/>
              </w:rPr>
            </w:pPr>
            <w:r>
              <w:rPr>
                <w:rFonts w:ascii="Arial" w:hAnsi="Arial" w:cs="Arial"/>
                <w:color w:val="000000"/>
                <w:sz w:val="20"/>
                <w:szCs w:val="20"/>
              </w:rPr>
              <w:t>2(b)</w:t>
            </w:r>
          </w:p>
        </w:tc>
        <w:tc>
          <w:tcPr>
            <w:tcW w:w="2390" w:type="pct"/>
            <w:tcMar>
              <w:top w:w="0" w:type="dxa"/>
              <w:left w:w="45" w:type="dxa"/>
              <w:bottom w:w="0" w:type="dxa"/>
              <w:right w:w="45" w:type="dxa"/>
            </w:tcMar>
            <w:vAlign w:val="center"/>
            <w:hideMark/>
          </w:tcPr>
          <w:p w:rsidR="002D338D" w:rsidRDefault="002D338D" w:rsidP="002D338D">
            <w:pPr>
              <w:jc w:val="both"/>
              <w:rPr>
                <w:rFonts w:ascii="Arial" w:hAnsi="Arial" w:cs="Arial"/>
                <w:color w:val="000000"/>
                <w:sz w:val="20"/>
                <w:szCs w:val="20"/>
              </w:rPr>
            </w:pPr>
            <w:r>
              <w:rPr>
                <w:rFonts w:ascii="Arial" w:hAnsi="Arial" w:cs="Arial"/>
                <w:color w:val="000000"/>
                <w:sz w:val="20"/>
                <w:szCs w:val="20"/>
              </w:rPr>
              <w:t>Reported incremental Gross NPA</w:t>
            </w:r>
          </w:p>
        </w:tc>
        <w:tc>
          <w:tcPr>
            <w:tcW w:w="1375" w:type="pct"/>
            <w:tcMar>
              <w:top w:w="0" w:type="dxa"/>
              <w:left w:w="45" w:type="dxa"/>
              <w:bottom w:w="0" w:type="dxa"/>
              <w:right w:w="45" w:type="dxa"/>
            </w:tcMar>
            <w:vAlign w:val="center"/>
            <w:hideMark/>
          </w:tcPr>
          <w:p w:rsidR="002D338D" w:rsidRDefault="002D338D" w:rsidP="002D338D">
            <w:pPr>
              <w:jc w:val="center"/>
              <w:rPr>
                <w:rFonts w:ascii="Arial" w:hAnsi="Arial" w:cs="Arial"/>
                <w:color w:val="000000"/>
                <w:sz w:val="20"/>
                <w:szCs w:val="20"/>
              </w:rPr>
            </w:pPr>
            <w:r>
              <w:rPr>
                <w:rFonts w:ascii="Arial" w:hAnsi="Arial" w:cs="Arial"/>
                <w:color w:val="000000"/>
                <w:sz w:val="20"/>
                <w:szCs w:val="20"/>
              </w:rPr>
              <w:t>5</w:t>
            </w:r>
          </w:p>
        </w:tc>
        <w:tc>
          <w:tcPr>
            <w:tcW w:w="949" w:type="pct"/>
            <w:tcMar>
              <w:top w:w="0" w:type="dxa"/>
              <w:left w:w="45" w:type="dxa"/>
              <w:bottom w:w="0" w:type="dxa"/>
              <w:right w:w="45" w:type="dxa"/>
            </w:tcMar>
            <w:vAlign w:val="center"/>
            <w:hideMark/>
          </w:tcPr>
          <w:p w:rsidR="002D338D" w:rsidRDefault="002D338D" w:rsidP="002D338D">
            <w:pPr>
              <w:jc w:val="center"/>
              <w:rPr>
                <w:rFonts w:ascii="Arial" w:hAnsi="Arial" w:cs="Arial"/>
                <w:color w:val="000000"/>
                <w:sz w:val="20"/>
                <w:szCs w:val="20"/>
              </w:rPr>
            </w:pPr>
            <w:r>
              <w:rPr>
                <w:rFonts w:ascii="Arial" w:hAnsi="Arial" w:cs="Arial"/>
                <w:color w:val="000000"/>
                <w:sz w:val="20"/>
                <w:szCs w:val="20"/>
              </w:rPr>
              <w:t>15*</w:t>
            </w:r>
          </w:p>
        </w:tc>
      </w:tr>
      <w:tr w:rsidR="002D338D" w:rsidTr="002D338D">
        <w:trPr>
          <w:trHeight w:val="197"/>
          <w:jc w:val="center"/>
        </w:trPr>
        <w:tc>
          <w:tcPr>
            <w:tcW w:w="5000" w:type="pct"/>
            <w:gridSpan w:val="4"/>
            <w:tcMar>
              <w:top w:w="0" w:type="dxa"/>
              <w:left w:w="45" w:type="dxa"/>
              <w:bottom w:w="0" w:type="dxa"/>
              <w:right w:w="45" w:type="dxa"/>
            </w:tcMar>
            <w:vAlign w:val="center"/>
            <w:hideMark/>
          </w:tcPr>
          <w:p w:rsidR="002D338D" w:rsidRDefault="002D338D" w:rsidP="002D338D">
            <w:pPr>
              <w:jc w:val="both"/>
              <w:rPr>
                <w:rFonts w:ascii="Arial" w:hAnsi="Arial" w:cs="Arial"/>
                <w:color w:val="000000"/>
                <w:sz w:val="20"/>
                <w:szCs w:val="20"/>
              </w:rPr>
            </w:pPr>
            <w:r>
              <w:rPr>
                <w:rFonts w:ascii="Arial" w:hAnsi="Arial" w:cs="Arial"/>
                <w:color w:val="000000"/>
                <w:sz w:val="20"/>
                <w:szCs w:val="20"/>
              </w:rPr>
              <w:t>*May be reduced subject to review</w:t>
            </w:r>
          </w:p>
        </w:tc>
      </w:tr>
    </w:tbl>
    <w:p w:rsidR="002D338D" w:rsidRDefault="002D338D" w:rsidP="002D338D">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2D338D" w:rsidRDefault="002D338D" w:rsidP="002D338D">
      <w:pPr>
        <w:spacing w:line="259" w:lineRule="auto"/>
        <w:rPr>
          <w:rFonts w:ascii="Arial" w:hAnsi="Arial" w:cs="Arial"/>
          <w:sz w:val="20"/>
          <w:szCs w:val="20"/>
        </w:rPr>
      </w:pPr>
    </w:p>
    <w:p w:rsidR="002D338D" w:rsidRDefault="002D338D" w:rsidP="002D338D">
      <w:pPr>
        <w:spacing w:after="0"/>
      </w:pPr>
    </w:p>
    <w:p w:rsidR="002D338D" w:rsidRDefault="002D338D" w:rsidP="002D338D">
      <w:pPr>
        <w:spacing w:after="0"/>
      </w:pPr>
      <w:r>
        <w:t>More details can be referred to in the below link.</w:t>
      </w:r>
    </w:p>
    <w:p w:rsidR="002D338D" w:rsidRDefault="002D338D" w:rsidP="002D338D">
      <w:pPr>
        <w:spacing w:after="0"/>
        <w:rPr>
          <w:rStyle w:val="Hyperlink"/>
          <w:rFonts w:ascii="Arial" w:hAnsi="Arial" w:cs="Arial"/>
          <w:bCs/>
          <w:sz w:val="20"/>
          <w:szCs w:val="20"/>
        </w:rPr>
      </w:pPr>
      <w:r>
        <w:rPr>
          <w:rFonts w:ascii="Arial" w:hAnsi="Arial" w:cs="Arial"/>
          <w:bCs/>
          <w:color w:val="000000"/>
          <w:sz w:val="20"/>
          <w:szCs w:val="20"/>
        </w:rPr>
        <w:t xml:space="preserve">Reference Link: </w:t>
      </w:r>
      <w:hyperlink r:id="rId74" w:anchor=":~:text=4(e)%20of%20Annexure%20III,by%20the%20Reserve%20Bank%20of" w:history="1">
        <w:r w:rsidRPr="00735218">
          <w:rPr>
            <w:rStyle w:val="Hyperlink"/>
            <w:rFonts w:ascii="Arial" w:hAnsi="Arial" w:cs="Arial"/>
            <w:bCs/>
            <w:sz w:val="20"/>
            <w:szCs w:val="20"/>
          </w:rPr>
          <w:t>https://www.rbi.org.in/scripts/FS_Notification.aspx?Id=12401&amp;fn=2&amp;Mode=0#:~:text=4(e)%20of%20Annexure%20III,by%20the%20Reserve%20Bank%20of</w:t>
        </w:r>
      </w:hyperlink>
    </w:p>
    <w:p w:rsidR="002D338D" w:rsidRDefault="002D338D" w:rsidP="002D338D">
      <w:pPr>
        <w:spacing w:line="259" w:lineRule="auto"/>
        <w:rPr>
          <w:rFonts w:ascii="Arial" w:hAnsi="Arial" w:cs="Arial"/>
          <w:sz w:val="20"/>
          <w:szCs w:val="20"/>
        </w:rPr>
      </w:pPr>
    </w:p>
    <w:p w:rsidR="002D338D" w:rsidRDefault="002D338D" w:rsidP="002D338D">
      <w:pPr>
        <w:pStyle w:val="NormalWeb"/>
        <w:rPr>
          <w:rFonts w:ascii="Arial" w:hAnsi="Arial" w:cs="Arial"/>
          <w:b/>
          <w:bCs/>
          <w:color w:val="000000"/>
          <w:sz w:val="20"/>
          <w:szCs w:val="20"/>
        </w:rPr>
      </w:pPr>
      <w:r>
        <w:rPr>
          <w:rFonts w:ascii="Arial" w:hAnsi="Arial" w:cs="Arial"/>
          <w:b/>
          <w:bCs/>
          <w:color w:val="000000"/>
          <w:sz w:val="20"/>
          <w:szCs w:val="20"/>
        </w:rPr>
        <w:t>Claims Received from the National Credit Guarantee Trustee Company Ltd (NCGTC) - Classification for the Purpose of Maintenance of Cash Reserve Ratio (CRR)/Statutory Liquidity Ratio (SLR)</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RBI/2022-23/132</w:t>
      </w:r>
      <w:r>
        <w:rPr>
          <w:rFonts w:ascii="Arial" w:hAnsi="Arial" w:cs="Arial"/>
          <w:color w:val="000000"/>
          <w:sz w:val="20"/>
          <w:szCs w:val="20"/>
        </w:rPr>
        <w:br/>
        <w:t>DOR.RET.REC.79/12.01.001/2022-23</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October 13, 2022</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Local Area Banks, Small Finance Banks, Payments Banks</w:t>
      </w:r>
      <w:r>
        <w:rPr>
          <w:rFonts w:ascii="Arial" w:hAnsi="Arial" w:cs="Arial"/>
          <w:color w:val="000000"/>
          <w:sz w:val="20"/>
          <w:szCs w:val="20"/>
        </w:rPr>
        <w:br/>
        <w:t>Primary (Urban) Co-operative Banks (UCBs)</w:t>
      </w:r>
      <w:r>
        <w:rPr>
          <w:rFonts w:ascii="Arial" w:hAnsi="Arial" w:cs="Arial"/>
          <w:color w:val="000000"/>
          <w:sz w:val="20"/>
          <w:szCs w:val="20"/>
        </w:rPr>
        <w:br/>
        <w:t>State and Central Co-operative Banks (</w:t>
      </w:r>
      <w:proofErr w:type="spellStart"/>
      <w:r>
        <w:rPr>
          <w:rFonts w:ascii="Arial" w:hAnsi="Arial" w:cs="Arial"/>
          <w:color w:val="000000"/>
          <w:sz w:val="20"/>
          <w:szCs w:val="20"/>
        </w:rPr>
        <w:t>StCBs</w:t>
      </w:r>
      <w:proofErr w:type="spellEnd"/>
      <w:r>
        <w:rPr>
          <w:rFonts w:ascii="Arial" w:hAnsi="Arial" w:cs="Arial"/>
          <w:color w:val="000000"/>
          <w:sz w:val="20"/>
          <w:szCs w:val="20"/>
        </w:rPr>
        <w:t>/CCBs)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Madam/Dear Sir,</w:t>
      </w:r>
    </w:p>
    <w:p w:rsidR="002D338D" w:rsidRDefault="002D338D" w:rsidP="002D338D">
      <w:pPr>
        <w:pStyle w:val="head"/>
        <w:jc w:val="both"/>
        <w:rPr>
          <w:rFonts w:ascii="Arial" w:hAnsi="Arial" w:cs="Arial"/>
          <w:b/>
          <w:bCs/>
          <w:color w:val="000000"/>
          <w:sz w:val="20"/>
          <w:szCs w:val="20"/>
        </w:rPr>
      </w:pPr>
      <w:r>
        <w:rPr>
          <w:rFonts w:ascii="Arial" w:hAnsi="Arial" w:cs="Arial"/>
          <w:b/>
          <w:bCs/>
          <w:color w:val="000000"/>
          <w:sz w:val="20"/>
          <w:szCs w:val="20"/>
        </w:rPr>
        <w:t>Claims Received from the National Credit Guarantee Trustee Company Ltd (NCGTC) - Classification for the Purpose of Maintenance of Cash Reserve Ratio (CRR)/Statutory Liquidity Ratio (SLR)</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Please refer to para 9 (Liabilities not to be included for NDTL computation) of </w:t>
      </w:r>
      <w:hyperlink r:id="rId75" w:tgtFrame="_blank" w:history="1">
        <w:r>
          <w:rPr>
            <w:rStyle w:val="Hyperlink"/>
            <w:rFonts w:ascii="Arial" w:hAnsi="Arial" w:cs="Arial"/>
            <w:sz w:val="20"/>
            <w:szCs w:val="20"/>
          </w:rPr>
          <w:t>Master Direction on CRR/SLR – 2021 dated July 20, 2021, as amended on April 06, 2022</w:t>
        </w:r>
      </w:hyperlink>
      <w:r>
        <w:rPr>
          <w:rFonts w:ascii="Arial" w:hAnsi="Arial" w:cs="Arial"/>
          <w:color w:val="000000"/>
          <w:sz w:val="20"/>
          <w:szCs w:val="20"/>
        </w:rPr>
        <w:t>.</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2. In this connection, it has been decided that the amounts received by a bank from the National Credit Guarantee Trustee Company Ltd towards claims in respect of guarantees invoked and held by them pending adjustment of the same towards the relative advances, need not be treated as outside liabilities for the purpose of computation of NDTL for CRR and SLR.</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3. Accordingly, para 9 of the Master Direction on CRR/SLR – 2021 will henceforth include “Amount received by the eligible banks from National Credit Guarantee Trustee Company Limited (NCGTC) by invoking the guarantee towards claims and pending adjustments thereof”.</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2D338D" w:rsidRDefault="002D338D" w:rsidP="002D338D"/>
    <w:p w:rsidR="002D338D" w:rsidRDefault="002D338D" w:rsidP="002D338D"/>
    <w:p w:rsidR="002D338D" w:rsidRDefault="002D338D" w:rsidP="002D338D">
      <w:r>
        <w:t>More details can be referred to in the below link.</w:t>
      </w:r>
    </w:p>
    <w:p w:rsidR="002D338D" w:rsidRDefault="002D338D" w:rsidP="002D338D">
      <w:pPr>
        <w:spacing w:after="0"/>
        <w:rPr>
          <w:rStyle w:val="Hyperlink"/>
          <w:rFonts w:ascii="Arial" w:hAnsi="Arial" w:cs="Arial"/>
          <w:sz w:val="20"/>
          <w:szCs w:val="20"/>
        </w:rPr>
      </w:pPr>
      <w:r>
        <w:rPr>
          <w:rFonts w:ascii="Arial" w:hAnsi="Arial" w:cs="Arial"/>
          <w:bCs/>
          <w:color w:val="000000"/>
          <w:sz w:val="20"/>
          <w:szCs w:val="20"/>
        </w:rPr>
        <w:t xml:space="preserve">Reference Link: </w:t>
      </w:r>
      <w:hyperlink r:id="rId76" w:history="1">
        <w:r w:rsidRPr="006865D6">
          <w:rPr>
            <w:rStyle w:val="Hyperlink"/>
            <w:rFonts w:ascii="Arial" w:hAnsi="Arial" w:cs="Arial"/>
            <w:sz w:val="20"/>
            <w:szCs w:val="20"/>
          </w:rPr>
          <w:t>https://www.rbi.org.in/scripts/FS_Notification.aspx?Id=12403&amp;fn=2&amp;Mode=0</w:t>
        </w:r>
      </w:hyperlink>
    </w:p>
    <w:p w:rsidR="002D338D" w:rsidRDefault="002D338D" w:rsidP="002D338D">
      <w:pPr>
        <w:spacing w:after="0"/>
        <w:rPr>
          <w:rStyle w:val="Hyperlink"/>
          <w:rFonts w:ascii="Arial" w:hAnsi="Arial" w:cs="Arial"/>
          <w:sz w:val="20"/>
          <w:szCs w:val="20"/>
        </w:rPr>
      </w:pPr>
    </w:p>
    <w:p w:rsidR="002D338D" w:rsidRDefault="002D338D" w:rsidP="002D338D">
      <w:pPr>
        <w:spacing w:after="0"/>
        <w:rPr>
          <w:rStyle w:val="Hyperlink"/>
          <w:rFonts w:ascii="Arial" w:hAnsi="Arial" w:cs="Arial"/>
          <w:sz w:val="20"/>
          <w:szCs w:val="20"/>
        </w:rPr>
      </w:pPr>
    </w:p>
    <w:p w:rsidR="002D338D" w:rsidRDefault="002D338D" w:rsidP="002D338D">
      <w:pPr>
        <w:spacing w:after="0"/>
        <w:rPr>
          <w:rStyle w:val="Hyperlink"/>
          <w:rFonts w:ascii="Arial" w:hAnsi="Arial" w:cs="Arial"/>
          <w:sz w:val="20"/>
          <w:szCs w:val="20"/>
        </w:rPr>
      </w:pPr>
    </w:p>
    <w:p w:rsidR="002D338D" w:rsidRDefault="002D338D" w:rsidP="002D338D">
      <w:pPr>
        <w:spacing w:after="0"/>
        <w:rPr>
          <w:rStyle w:val="Hyperlink"/>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810FE8" w:rsidRDefault="00810FE8" w:rsidP="00810FE8">
      <w:pPr>
        <w:pStyle w:val="NormalWeb"/>
        <w:rPr>
          <w:rFonts w:ascii="Arial" w:hAnsi="Arial" w:cs="Arial"/>
          <w:b/>
          <w:color w:val="000000"/>
          <w:sz w:val="20"/>
          <w:szCs w:val="20"/>
        </w:rPr>
      </w:pPr>
      <w:r w:rsidRPr="0085415B">
        <w:rPr>
          <w:rFonts w:ascii="Arial" w:hAnsi="Arial" w:cs="Arial"/>
          <w:b/>
          <w:color w:val="000000"/>
          <w:sz w:val="20"/>
          <w:szCs w:val="20"/>
        </w:rPr>
        <w:t>Agency Commission for Direct Tax collection under TIN 2.0 regime</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RBI/2022-23/136</w:t>
      </w:r>
      <w:r>
        <w:rPr>
          <w:rFonts w:ascii="Arial" w:hAnsi="Arial" w:cs="Arial"/>
          <w:color w:val="000000"/>
          <w:sz w:val="20"/>
          <w:szCs w:val="20"/>
        </w:rPr>
        <w:br/>
        <w:t>CO.DGBA.GBD.No.S957/43-33-005/2022-2023</w:t>
      </w:r>
    </w:p>
    <w:p w:rsidR="00810FE8" w:rsidRDefault="00810FE8" w:rsidP="00810FE8">
      <w:pPr>
        <w:pStyle w:val="NormalWeb"/>
        <w:jc w:val="right"/>
        <w:rPr>
          <w:rFonts w:ascii="Arial" w:hAnsi="Arial" w:cs="Arial"/>
          <w:color w:val="000000"/>
          <w:sz w:val="20"/>
          <w:szCs w:val="20"/>
        </w:rPr>
      </w:pPr>
      <w:r>
        <w:rPr>
          <w:rFonts w:ascii="Arial" w:hAnsi="Arial" w:cs="Arial"/>
          <w:color w:val="000000"/>
          <w:sz w:val="20"/>
          <w:szCs w:val="20"/>
        </w:rPr>
        <w:t>November 14, 2022</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All Agency banks (authorised to collect direct taxes)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Madam / Dear Sir</w:t>
      </w:r>
    </w:p>
    <w:p w:rsidR="00810FE8" w:rsidRDefault="00810FE8" w:rsidP="00810FE8">
      <w:pPr>
        <w:pStyle w:val="head"/>
        <w:jc w:val="both"/>
        <w:rPr>
          <w:rFonts w:ascii="Arial" w:hAnsi="Arial" w:cs="Arial"/>
          <w:b/>
          <w:bCs/>
          <w:color w:val="000000"/>
          <w:sz w:val="20"/>
          <w:szCs w:val="20"/>
        </w:rPr>
      </w:pPr>
      <w:r>
        <w:rPr>
          <w:rFonts w:ascii="Arial" w:hAnsi="Arial" w:cs="Arial"/>
          <w:b/>
          <w:bCs/>
          <w:color w:val="000000"/>
          <w:sz w:val="20"/>
          <w:szCs w:val="20"/>
        </w:rPr>
        <w:t>Agency Commission for Direct Tax collection under TIN 2.0 regime</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Please refer to Para 21 of our </w:t>
      </w:r>
      <w:hyperlink r:id="rId77" w:tgtFrame="_blank" w:history="1">
        <w:r>
          <w:rPr>
            <w:rStyle w:val="Hyperlink"/>
            <w:rFonts w:ascii="Arial" w:hAnsi="Arial" w:cs="Arial"/>
            <w:sz w:val="20"/>
            <w:szCs w:val="20"/>
          </w:rPr>
          <w:t>Master Circular on Conduct of Government Business by Agency Banks - Payment of Agency Commission dated April 1, 2022</w:t>
        </w:r>
      </w:hyperlink>
      <w:r>
        <w:rPr>
          <w:rFonts w:ascii="Arial" w:hAnsi="Arial" w:cs="Arial"/>
          <w:color w:val="000000"/>
          <w:sz w:val="20"/>
          <w:szCs w:val="20"/>
        </w:rPr>
        <w:t> related to claiming of agency commission.</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2. After implementation of TIN 2.0 regime for collection of direct taxes, it has been decided to modify paragraph 21 of the captioned Master Circular. The modified paragraph 21 will read as follows: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“Agency banks are required to submit their claims for agency commission in the prescribed format to CAS Nagpur in respect of Central government transactions and the respective Regional Office of Reserve Bank of India for State government transactions. However, agency commission claims with respect to GST receipt transactions </w:t>
      </w:r>
      <w:r>
        <w:rPr>
          <w:rFonts w:ascii="Arial" w:hAnsi="Arial" w:cs="Arial"/>
          <w:color w:val="000000"/>
          <w:sz w:val="20"/>
          <w:szCs w:val="20"/>
          <w:u w:val="single"/>
        </w:rPr>
        <w:t>and transactions related to direct tax collection under TIN 2.0 regime</w:t>
      </w:r>
      <w:r>
        <w:rPr>
          <w:rFonts w:ascii="Arial" w:hAnsi="Arial" w:cs="Arial"/>
          <w:color w:val="000000"/>
          <w:sz w:val="20"/>
          <w:szCs w:val="20"/>
        </w:rPr>
        <w:t> will be settled at Mumbai Regional Office of Reserve Bank of India only and accordingly all agency banks, authorized to collect GST </w:t>
      </w:r>
      <w:r>
        <w:rPr>
          <w:rFonts w:ascii="Arial" w:hAnsi="Arial" w:cs="Arial"/>
          <w:color w:val="000000"/>
          <w:sz w:val="20"/>
          <w:szCs w:val="20"/>
          <w:u w:val="single"/>
        </w:rPr>
        <w:t>and direct tax collection under TIN 2.0</w:t>
      </w:r>
      <w:r>
        <w:rPr>
          <w:rFonts w:ascii="Arial" w:hAnsi="Arial" w:cs="Arial"/>
          <w:color w:val="000000"/>
          <w:sz w:val="20"/>
          <w:szCs w:val="20"/>
        </w:rPr>
        <w:t>, are advised to submit their agency commission claims pertaining to </w:t>
      </w:r>
      <w:r>
        <w:rPr>
          <w:rFonts w:ascii="Arial" w:hAnsi="Arial" w:cs="Arial"/>
          <w:color w:val="000000"/>
          <w:sz w:val="20"/>
          <w:szCs w:val="20"/>
          <w:u w:val="single"/>
        </w:rPr>
        <w:t>the respective</w:t>
      </w:r>
      <w:r>
        <w:rPr>
          <w:rFonts w:ascii="Arial" w:hAnsi="Arial" w:cs="Arial"/>
          <w:color w:val="000000"/>
          <w:sz w:val="20"/>
          <w:szCs w:val="20"/>
        </w:rPr>
        <w:t> receipt transactions at Mumbai Regional Office only. </w:t>
      </w:r>
      <w:r>
        <w:rPr>
          <w:rFonts w:ascii="Arial" w:hAnsi="Arial" w:cs="Arial"/>
          <w:color w:val="000000"/>
          <w:sz w:val="20"/>
          <w:szCs w:val="20"/>
          <w:u w:val="single"/>
        </w:rPr>
        <w:t>The agency commission for transactions related to direct tax under OLTAS will be continued to be settled at CAS, Nagpur, RBI.</w:t>
      </w:r>
      <w:r>
        <w:rPr>
          <w:rFonts w:ascii="Arial" w:hAnsi="Arial" w:cs="Arial"/>
          <w:color w:val="000000"/>
          <w:sz w:val="20"/>
          <w:szCs w:val="20"/>
        </w:rPr>
        <w:t> The formats for claiming agency commission for all agency banks and separate and distinctive set of certificates to be signed by the branch officials and Chartered Accountants or Cost Accountants are given in Annex 2, Annex 2A and Annex 2B respectively. These certificates would be in addition to the usual Certificate from ED / CGM (in charge of government business) to the effect that there are no pension arrears to be credited / delays in crediting regular pension / arrears thereof.”</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3. All other instructions of the said Master Circular remain unchanged.</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Yours faithfully</w:t>
      </w:r>
    </w:p>
    <w:p w:rsidR="00810FE8" w:rsidRDefault="00810FE8" w:rsidP="00810FE8">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Indranil</w:t>
      </w:r>
      <w:proofErr w:type="spellEnd"/>
      <w:r>
        <w:rPr>
          <w:rFonts w:ascii="Arial" w:hAnsi="Arial" w:cs="Arial"/>
          <w:color w:val="000000"/>
          <w:sz w:val="20"/>
          <w:szCs w:val="20"/>
        </w:rPr>
        <w:t xml:space="preserve"> Chakraborty)</w:t>
      </w:r>
      <w:r>
        <w:rPr>
          <w:rFonts w:ascii="Arial" w:hAnsi="Arial" w:cs="Arial"/>
          <w:color w:val="000000"/>
          <w:sz w:val="20"/>
          <w:szCs w:val="20"/>
        </w:rPr>
        <w:br/>
        <w:t>Chief General Manager</w:t>
      </w:r>
    </w:p>
    <w:p w:rsidR="00810FE8" w:rsidRDefault="00810FE8" w:rsidP="00810FE8">
      <w:pPr>
        <w:pStyle w:val="NormalWeb"/>
        <w:rPr>
          <w:rFonts w:ascii="Arial" w:hAnsi="Arial" w:cs="Arial"/>
          <w:color w:val="000000"/>
          <w:sz w:val="20"/>
          <w:szCs w:val="20"/>
        </w:rPr>
      </w:pPr>
    </w:p>
    <w:p w:rsidR="00810FE8" w:rsidRDefault="00810FE8" w:rsidP="00810FE8"/>
    <w:p w:rsidR="00810FE8" w:rsidRDefault="00810FE8" w:rsidP="00810FE8">
      <w:r>
        <w:t>More details can be referred to in the below link.</w:t>
      </w:r>
    </w:p>
    <w:p w:rsidR="002D338D" w:rsidRDefault="00810FE8" w:rsidP="00810FE8">
      <w:pPr>
        <w:spacing w:line="259" w:lineRule="auto"/>
        <w:rPr>
          <w:rStyle w:val="Hyperlink"/>
          <w:rFonts w:ascii="Arial" w:hAnsi="Arial" w:cs="Arial"/>
          <w:bCs/>
          <w:sz w:val="20"/>
          <w:szCs w:val="20"/>
        </w:rPr>
      </w:pPr>
      <w:r>
        <w:rPr>
          <w:rFonts w:ascii="Arial" w:hAnsi="Arial" w:cs="Arial"/>
          <w:bCs/>
          <w:color w:val="000000"/>
          <w:sz w:val="20"/>
          <w:szCs w:val="20"/>
        </w:rPr>
        <w:t xml:space="preserve">Reference Link: </w:t>
      </w:r>
      <w:hyperlink r:id="rId78" w:history="1">
        <w:r w:rsidRPr="006865D6">
          <w:rPr>
            <w:rStyle w:val="Hyperlink"/>
            <w:rFonts w:ascii="Arial" w:hAnsi="Arial" w:cs="Arial"/>
            <w:bCs/>
            <w:sz w:val="20"/>
            <w:szCs w:val="20"/>
          </w:rPr>
          <w:t>https://www.rbi.org.in/Scripts/NotificationUser.aspx?Id=12408&amp;Mode=0</w:t>
        </w:r>
      </w:hyperlink>
    </w:p>
    <w:p w:rsidR="00810FE8" w:rsidRDefault="00810FE8" w:rsidP="00810FE8">
      <w:pPr>
        <w:spacing w:line="259" w:lineRule="auto"/>
        <w:rPr>
          <w:rStyle w:val="Hyperlink"/>
          <w:rFonts w:ascii="Arial" w:hAnsi="Arial" w:cs="Arial"/>
          <w:bCs/>
          <w:sz w:val="20"/>
          <w:szCs w:val="20"/>
        </w:rPr>
      </w:pPr>
    </w:p>
    <w:p w:rsidR="00810FE8" w:rsidRDefault="00810FE8" w:rsidP="00810FE8">
      <w:pPr>
        <w:spacing w:line="259" w:lineRule="auto"/>
        <w:rPr>
          <w:rStyle w:val="Hyperlink"/>
          <w:rFonts w:ascii="Arial" w:hAnsi="Arial" w:cs="Arial"/>
          <w:bCs/>
          <w:sz w:val="20"/>
          <w:szCs w:val="20"/>
        </w:rPr>
      </w:pPr>
    </w:p>
    <w:p w:rsidR="00810FE8" w:rsidRDefault="00810FE8" w:rsidP="00810FE8">
      <w:pPr>
        <w:spacing w:line="259" w:lineRule="auto"/>
        <w:rPr>
          <w:rStyle w:val="Hyperlink"/>
          <w:rFonts w:ascii="Arial" w:hAnsi="Arial" w:cs="Arial"/>
          <w:bCs/>
          <w:sz w:val="20"/>
          <w:szCs w:val="20"/>
        </w:rPr>
      </w:pPr>
    </w:p>
    <w:p w:rsidR="00810FE8" w:rsidRDefault="00810FE8" w:rsidP="00810FE8">
      <w:pPr>
        <w:spacing w:line="259" w:lineRule="auto"/>
        <w:rPr>
          <w:rStyle w:val="Hyperlink"/>
          <w:rFonts w:ascii="Arial" w:hAnsi="Arial" w:cs="Arial"/>
          <w:bCs/>
          <w:sz w:val="20"/>
          <w:szCs w:val="20"/>
        </w:rPr>
      </w:pPr>
    </w:p>
    <w:p w:rsidR="00810FE8" w:rsidRDefault="00810FE8" w:rsidP="00810FE8">
      <w:pPr>
        <w:spacing w:line="259" w:lineRule="auto"/>
        <w:rPr>
          <w:rStyle w:val="Hyperlink"/>
          <w:rFonts w:ascii="Arial" w:hAnsi="Arial" w:cs="Arial"/>
          <w:bCs/>
          <w:sz w:val="20"/>
          <w:szCs w:val="20"/>
        </w:rPr>
      </w:pPr>
    </w:p>
    <w:p w:rsidR="00810FE8" w:rsidRDefault="00810FE8" w:rsidP="00810FE8">
      <w:pPr>
        <w:pStyle w:val="NormalWeb"/>
        <w:rPr>
          <w:rFonts w:ascii="Arial" w:hAnsi="Arial" w:cs="Arial"/>
          <w:b/>
          <w:bCs/>
          <w:color w:val="000000"/>
          <w:sz w:val="20"/>
          <w:szCs w:val="20"/>
        </w:rPr>
      </w:pPr>
      <w:r>
        <w:rPr>
          <w:rFonts w:ascii="Arial" w:hAnsi="Arial" w:cs="Arial"/>
          <w:b/>
          <w:bCs/>
          <w:color w:val="000000"/>
          <w:sz w:val="20"/>
          <w:szCs w:val="20"/>
        </w:rPr>
        <w:t xml:space="preserve">Modified Interest Subvention Scheme for Short Term Loans for Agriculture and Allied Activities availed through </w:t>
      </w:r>
      <w:proofErr w:type="spellStart"/>
      <w:r>
        <w:rPr>
          <w:rFonts w:ascii="Arial" w:hAnsi="Arial" w:cs="Arial"/>
          <w:b/>
          <w:bCs/>
          <w:color w:val="000000"/>
          <w:sz w:val="20"/>
          <w:szCs w:val="20"/>
        </w:rPr>
        <w:t>Kisan</w:t>
      </w:r>
      <w:proofErr w:type="spellEnd"/>
      <w:r>
        <w:rPr>
          <w:rFonts w:ascii="Arial" w:hAnsi="Arial" w:cs="Arial"/>
          <w:b/>
          <w:bCs/>
          <w:color w:val="000000"/>
          <w:sz w:val="20"/>
          <w:szCs w:val="20"/>
        </w:rPr>
        <w:t xml:space="preserve"> Credit Card (KCC) during the financial years 2022-23 and 2023-24</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RBI/2022-23/139</w:t>
      </w:r>
      <w:r>
        <w:rPr>
          <w:rFonts w:ascii="Arial" w:hAnsi="Arial" w:cs="Arial"/>
          <w:color w:val="000000"/>
          <w:sz w:val="20"/>
          <w:szCs w:val="20"/>
        </w:rPr>
        <w:br/>
        <w:t>FIDD.CO.FSD.BC.No.13/05.02.001/2022-23</w:t>
      </w:r>
    </w:p>
    <w:p w:rsidR="00810FE8" w:rsidRDefault="00810FE8" w:rsidP="00810FE8">
      <w:pPr>
        <w:pStyle w:val="NormalWeb"/>
        <w:jc w:val="right"/>
        <w:rPr>
          <w:rFonts w:ascii="Arial" w:hAnsi="Arial" w:cs="Arial"/>
          <w:color w:val="000000"/>
          <w:sz w:val="20"/>
          <w:szCs w:val="20"/>
        </w:rPr>
      </w:pPr>
      <w:r>
        <w:rPr>
          <w:rFonts w:ascii="Arial" w:hAnsi="Arial" w:cs="Arial"/>
          <w:color w:val="000000"/>
          <w:sz w:val="20"/>
          <w:szCs w:val="20"/>
        </w:rPr>
        <w:t>November 23, 2022</w:t>
      </w:r>
    </w:p>
    <w:p w:rsidR="00810FE8" w:rsidRDefault="00810FE8" w:rsidP="00810FE8">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All Public Sector Banks, Private Sector Banks and</w:t>
      </w:r>
      <w:r>
        <w:rPr>
          <w:rFonts w:ascii="Arial" w:hAnsi="Arial" w:cs="Arial"/>
          <w:color w:val="000000"/>
          <w:sz w:val="20"/>
          <w:szCs w:val="20"/>
        </w:rPr>
        <w:br/>
        <w:t>Small Finance Banks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Madam/Dear Sir,</w:t>
      </w:r>
    </w:p>
    <w:p w:rsidR="00810FE8" w:rsidRDefault="00810FE8" w:rsidP="00810FE8">
      <w:pPr>
        <w:pStyle w:val="head"/>
        <w:jc w:val="both"/>
        <w:rPr>
          <w:rFonts w:ascii="Arial" w:hAnsi="Arial" w:cs="Arial"/>
          <w:b/>
          <w:bCs/>
          <w:color w:val="000000"/>
          <w:sz w:val="20"/>
          <w:szCs w:val="20"/>
        </w:rPr>
      </w:pPr>
      <w:r>
        <w:rPr>
          <w:rFonts w:ascii="Arial" w:hAnsi="Arial" w:cs="Arial"/>
          <w:b/>
          <w:bCs/>
          <w:color w:val="000000"/>
          <w:sz w:val="20"/>
          <w:szCs w:val="20"/>
        </w:rPr>
        <w:t xml:space="preserve">Modified Interest Subvention Scheme for Short Term Loans for Agriculture and Allied Activities availed through </w:t>
      </w:r>
      <w:proofErr w:type="spellStart"/>
      <w:r>
        <w:rPr>
          <w:rFonts w:ascii="Arial" w:hAnsi="Arial" w:cs="Arial"/>
          <w:b/>
          <w:bCs/>
          <w:color w:val="000000"/>
          <w:sz w:val="20"/>
          <w:szCs w:val="20"/>
        </w:rPr>
        <w:t>Kisan</w:t>
      </w:r>
      <w:proofErr w:type="spellEnd"/>
      <w:r>
        <w:rPr>
          <w:rFonts w:ascii="Arial" w:hAnsi="Arial" w:cs="Arial"/>
          <w:b/>
          <w:bCs/>
          <w:color w:val="000000"/>
          <w:sz w:val="20"/>
          <w:szCs w:val="20"/>
        </w:rPr>
        <w:t xml:space="preserve"> Credit Card (KCC) during the financial years 2022-23 and 2023-24</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79" w:tgtFrame="_blank" w:history="1">
        <w:r>
          <w:rPr>
            <w:rStyle w:val="Hyperlink"/>
            <w:rFonts w:ascii="Arial" w:hAnsi="Arial" w:cs="Arial"/>
            <w:sz w:val="20"/>
            <w:szCs w:val="20"/>
          </w:rPr>
          <w:t>circular FIDD.CO.FSD.BC.No.3/05.02.001/2022-23 dated April 28, 2022</w:t>
        </w:r>
      </w:hyperlink>
      <w:r>
        <w:rPr>
          <w:rFonts w:ascii="Arial" w:hAnsi="Arial" w:cs="Arial"/>
          <w:color w:val="000000"/>
          <w:sz w:val="20"/>
          <w:szCs w:val="20"/>
        </w:rPr>
        <w:t> conveying the decision of the Government of India for continuation of the Modified Interest Subvention Scheme for short term loans for agriculture and allied activities for the year 2021-22.</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2. In this regard, it is advised that Government of India has approved the continuation of the Interest Subvention Scheme (ISS) with modification for the financial years 2022-23 and 2023-24 with the following stipulations: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 xml:space="preserve">(i) In order to provide short term crop loans and short term loans for allied activities including animal husbandry, dairy, fisheries, bee keeping etc. </w:t>
      </w:r>
      <w:proofErr w:type="spellStart"/>
      <w:r>
        <w:rPr>
          <w:rFonts w:ascii="Arial" w:hAnsi="Arial" w:cs="Arial"/>
          <w:color w:val="000000"/>
          <w:sz w:val="20"/>
          <w:szCs w:val="20"/>
        </w:rPr>
        <w:t>upto</w:t>
      </w:r>
      <w:proofErr w:type="spellEnd"/>
      <w:r>
        <w:rPr>
          <w:rFonts w:ascii="Arial" w:hAnsi="Arial" w:cs="Arial"/>
          <w:color w:val="000000"/>
          <w:sz w:val="20"/>
          <w:szCs w:val="20"/>
        </w:rPr>
        <w:t xml:space="preserve"> an overall limit of ₹3 lakh to farmers through KCC at concessional interest rate during the years 2022-23 and 2023-24, it has been decided to provide interest subvention to lending institutions viz. Public Sector Banks (PSBs) and Private Sector Banks (in respect of loans given by their rural and semi-urban branches only), Small Finance Banks (SFBs) and computerized Primary Agriculture Cooperative Societies (PACS) which have been ceded with Scheduled Commercial Banks (SCBs), on use of their own resources. This interest subvention will be calculated on the loan amount from the date of disbursement/</w:t>
      </w:r>
      <w:proofErr w:type="spellStart"/>
      <w:r>
        <w:rPr>
          <w:rFonts w:ascii="Arial" w:hAnsi="Arial" w:cs="Arial"/>
          <w:color w:val="000000"/>
          <w:sz w:val="20"/>
          <w:szCs w:val="20"/>
        </w:rPr>
        <w:t>drawal</w:t>
      </w:r>
      <w:proofErr w:type="spellEnd"/>
      <w:r>
        <w:rPr>
          <w:rFonts w:ascii="Arial" w:hAnsi="Arial" w:cs="Arial"/>
          <w:color w:val="000000"/>
          <w:sz w:val="20"/>
          <w:szCs w:val="20"/>
        </w:rPr>
        <w:t xml:space="preserve"> up to the date of actual repayment of the loan by the farmer or up to the due date of the loan fixed by the banks, whichever is earlier, subject to a maximum period of one year. The applicable lending rate to farmers and the rate of interest subvention for the financial years 2022-23 and 2023-24 will be as follows:</w:t>
      </w: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2408"/>
        <w:gridCol w:w="4943"/>
      </w:tblGrid>
      <w:tr w:rsidR="00810FE8" w:rsidTr="00D4513C">
        <w:trPr>
          <w:trHeight w:val="418"/>
          <w:jc w:val="center"/>
        </w:trPr>
        <w:tc>
          <w:tcPr>
            <w:tcW w:w="873" w:type="pct"/>
            <w:tcMar>
              <w:top w:w="0" w:type="dxa"/>
              <w:left w:w="45" w:type="dxa"/>
              <w:bottom w:w="0" w:type="dxa"/>
              <w:right w:w="45" w:type="dxa"/>
            </w:tcMar>
            <w:vAlign w:val="center"/>
            <w:hideMark/>
          </w:tcPr>
          <w:p w:rsidR="00810FE8" w:rsidRDefault="00810FE8" w:rsidP="00D4513C">
            <w:pPr>
              <w:jc w:val="center"/>
              <w:rPr>
                <w:rFonts w:ascii="Arial" w:hAnsi="Arial" w:cs="Arial"/>
                <w:b/>
                <w:bCs/>
                <w:color w:val="000000"/>
                <w:sz w:val="20"/>
                <w:szCs w:val="20"/>
              </w:rPr>
            </w:pPr>
            <w:r>
              <w:rPr>
                <w:rFonts w:ascii="Arial" w:hAnsi="Arial" w:cs="Arial"/>
                <w:b/>
                <w:bCs/>
                <w:color w:val="000000"/>
                <w:sz w:val="20"/>
                <w:szCs w:val="20"/>
              </w:rPr>
              <w:t>Financial Year</w:t>
            </w:r>
          </w:p>
        </w:tc>
        <w:tc>
          <w:tcPr>
            <w:tcW w:w="1352" w:type="pct"/>
            <w:tcMar>
              <w:top w:w="0" w:type="dxa"/>
              <w:left w:w="45" w:type="dxa"/>
              <w:bottom w:w="0" w:type="dxa"/>
              <w:right w:w="45" w:type="dxa"/>
            </w:tcMar>
            <w:vAlign w:val="center"/>
            <w:hideMark/>
          </w:tcPr>
          <w:p w:rsidR="00810FE8" w:rsidRDefault="00810FE8" w:rsidP="00D4513C">
            <w:pPr>
              <w:jc w:val="center"/>
              <w:rPr>
                <w:rFonts w:ascii="Arial" w:hAnsi="Arial" w:cs="Arial"/>
                <w:b/>
                <w:bCs/>
                <w:color w:val="000000"/>
                <w:sz w:val="20"/>
                <w:szCs w:val="20"/>
              </w:rPr>
            </w:pPr>
            <w:r>
              <w:rPr>
                <w:rFonts w:ascii="Arial" w:hAnsi="Arial" w:cs="Arial"/>
                <w:b/>
                <w:bCs/>
                <w:color w:val="000000"/>
                <w:sz w:val="20"/>
                <w:szCs w:val="20"/>
              </w:rPr>
              <w:t>Lending rate to farmers</w:t>
            </w:r>
          </w:p>
        </w:tc>
        <w:tc>
          <w:tcPr>
            <w:tcW w:w="2775" w:type="pct"/>
            <w:tcMar>
              <w:top w:w="0" w:type="dxa"/>
              <w:left w:w="45" w:type="dxa"/>
              <w:bottom w:w="0" w:type="dxa"/>
              <w:right w:w="45" w:type="dxa"/>
            </w:tcMar>
            <w:vAlign w:val="center"/>
            <w:hideMark/>
          </w:tcPr>
          <w:p w:rsidR="00810FE8" w:rsidRDefault="00810FE8" w:rsidP="00D4513C">
            <w:pPr>
              <w:jc w:val="center"/>
              <w:rPr>
                <w:rFonts w:ascii="Arial" w:hAnsi="Arial" w:cs="Arial"/>
                <w:b/>
                <w:bCs/>
                <w:color w:val="000000"/>
                <w:sz w:val="20"/>
                <w:szCs w:val="20"/>
              </w:rPr>
            </w:pPr>
            <w:r>
              <w:rPr>
                <w:rFonts w:ascii="Arial" w:hAnsi="Arial" w:cs="Arial"/>
                <w:b/>
                <w:bCs/>
                <w:color w:val="000000"/>
                <w:sz w:val="20"/>
                <w:szCs w:val="20"/>
              </w:rPr>
              <w:t>Rate of Interest Subvention to Lending Institutions</w:t>
            </w:r>
          </w:p>
        </w:tc>
      </w:tr>
      <w:tr w:rsidR="00810FE8" w:rsidTr="00D4513C">
        <w:trPr>
          <w:trHeight w:val="141"/>
          <w:jc w:val="center"/>
        </w:trPr>
        <w:tc>
          <w:tcPr>
            <w:tcW w:w="873" w:type="pct"/>
            <w:tcMar>
              <w:top w:w="0" w:type="dxa"/>
              <w:left w:w="45" w:type="dxa"/>
              <w:bottom w:w="0" w:type="dxa"/>
              <w:right w:w="45" w:type="dxa"/>
            </w:tcMar>
            <w:vAlign w:val="center"/>
            <w:hideMark/>
          </w:tcPr>
          <w:p w:rsidR="00810FE8" w:rsidRDefault="00810FE8" w:rsidP="00D4513C">
            <w:pPr>
              <w:jc w:val="center"/>
              <w:rPr>
                <w:rFonts w:ascii="Arial" w:hAnsi="Arial" w:cs="Arial"/>
                <w:color w:val="000000"/>
                <w:sz w:val="20"/>
                <w:szCs w:val="20"/>
              </w:rPr>
            </w:pPr>
            <w:r>
              <w:rPr>
                <w:rFonts w:ascii="Arial" w:hAnsi="Arial" w:cs="Arial"/>
                <w:color w:val="000000"/>
                <w:sz w:val="20"/>
                <w:szCs w:val="20"/>
              </w:rPr>
              <w:t>2022-23</w:t>
            </w:r>
          </w:p>
        </w:tc>
        <w:tc>
          <w:tcPr>
            <w:tcW w:w="1352" w:type="pct"/>
            <w:tcMar>
              <w:top w:w="0" w:type="dxa"/>
              <w:left w:w="45" w:type="dxa"/>
              <w:bottom w:w="0" w:type="dxa"/>
              <w:right w:w="45" w:type="dxa"/>
            </w:tcMar>
            <w:vAlign w:val="center"/>
            <w:hideMark/>
          </w:tcPr>
          <w:p w:rsidR="00810FE8" w:rsidRDefault="00810FE8" w:rsidP="00D4513C">
            <w:pPr>
              <w:jc w:val="center"/>
              <w:rPr>
                <w:rFonts w:ascii="Arial" w:hAnsi="Arial" w:cs="Arial"/>
                <w:color w:val="000000"/>
                <w:sz w:val="20"/>
                <w:szCs w:val="20"/>
              </w:rPr>
            </w:pPr>
            <w:r>
              <w:rPr>
                <w:rFonts w:ascii="Arial" w:hAnsi="Arial" w:cs="Arial"/>
                <w:color w:val="000000"/>
                <w:sz w:val="20"/>
                <w:szCs w:val="20"/>
              </w:rPr>
              <w:t>7%</w:t>
            </w:r>
          </w:p>
        </w:tc>
        <w:tc>
          <w:tcPr>
            <w:tcW w:w="2775" w:type="pct"/>
            <w:tcMar>
              <w:top w:w="0" w:type="dxa"/>
              <w:left w:w="45" w:type="dxa"/>
              <w:bottom w:w="0" w:type="dxa"/>
              <w:right w:w="45" w:type="dxa"/>
            </w:tcMar>
            <w:vAlign w:val="center"/>
            <w:hideMark/>
          </w:tcPr>
          <w:p w:rsidR="00810FE8" w:rsidRDefault="00810FE8" w:rsidP="00D4513C">
            <w:pPr>
              <w:jc w:val="center"/>
              <w:rPr>
                <w:rFonts w:ascii="Arial" w:hAnsi="Arial" w:cs="Arial"/>
                <w:color w:val="000000"/>
                <w:sz w:val="20"/>
                <w:szCs w:val="20"/>
              </w:rPr>
            </w:pPr>
            <w:r>
              <w:rPr>
                <w:rFonts w:ascii="Arial" w:hAnsi="Arial" w:cs="Arial"/>
                <w:color w:val="000000"/>
                <w:sz w:val="20"/>
                <w:szCs w:val="20"/>
              </w:rPr>
              <w:t>1.50%</w:t>
            </w:r>
          </w:p>
        </w:tc>
      </w:tr>
      <w:tr w:rsidR="00810FE8" w:rsidTr="00D4513C">
        <w:trPr>
          <w:trHeight w:val="202"/>
          <w:jc w:val="center"/>
        </w:trPr>
        <w:tc>
          <w:tcPr>
            <w:tcW w:w="873" w:type="pct"/>
            <w:tcMar>
              <w:top w:w="0" w:type="dxa"/>
              <w:left w:w="45" w:type="dxa"/>
              <w:bottom w:w="0" w:type="dxa"/>
              <w:right w:w="45" w:type="dxa"/>
            </w:tcMar>
            <w:vAlign w:val="center"/>
            <w:hideMark/>
          </w:tcPr>
          <w:p w:rsidR="00810FE8" w:rsidRDefault="00810FE8" w:rsidP="00D4513C">
            <w:pPr>
              <w:jc w:val="center"/>
              <w:rPr>
                <w:rFonts w:ascii="Arial" w:hAnsi="Arial" w:cs="Arial"/>
                <w:color w:val="000000"/>
                <w:sz w:val="20"/>
                <w:szCs w:val="20"/>
              </w:rPr>
            </w:pPr>
            <w:r>
              <w:rPr>
                <w:rFonts w:ascii="Arial" w:hAnsi="Arial" w:cs="Arial"/>
                <w:color w:val="000000"/>
                <w:sz w:val="20"/>
                <w:szCs w:val="20"/>
              </w:rPr>
              <w:t>2023-24</w:t>
            </w:r>
          </w:p>
        </w:tc>
        <w:tc>
          <w:tcPr>
            <w:tcW w:w="1352" w:type="pct"/>
            <w:tcMar>
              <w:top w:w="0" w:type="dxa"/>
              <w:left w:w="45" w:type="dxa"/>
              <w:bottom w:w="0" w:type="dxa"/>
              <w:right w:w="45" w:type="dxa"/>
            </w:tcMar>
            <w:vAlign w:val="center"/>
            <w:hideMark/>
          </w:tcPr>
          <w:p w:rsidR="00810FE8" w:rsidRDefault="00810FE8" w:rsidP="00D4513C">
            <w:pPr>
              <w:jc w:val="center"/>
              <w:rPr>
                <w:rFonts w:ascii="Arial" w:hAnsi="Arial" w:cs="Arial"/>
                <w:color w:val="000000"/>
                <w:sz w:val="20"/>
                <w:szCs w:val="20"/>
              </w:rPr>
            </w:pPr>
            <w:r>
              <w:rPr>
                <w:rFonts w:ascii="Arial" w:hAnsi="Arial" w:cs="Arial"/>
                <w:color w:val="000000"/>
                <w:sz w:val="20"/>
                <w:szCs w:val="20"/>
              </w:rPr>
              <w:t>7%</w:t>
            </w:r>
          </w:p>
        </w:tc>
        <w:tc>
          <w:tcPr>
            <w:tcW w:w="2775" w:type="pct"/>
            <w:tcMar>
              <w:top w:w="0" w:type="dxa"/>
              <w:left w:w="45" w:type="dxa"/>
              <w:bottom w:w="0" w:type="dxa"/>
              <w:right w:w="45" w:type="dxa"/>
            </w:tcMar>
            <w:vAlign w:val="center"/>
            <w:hideMark/>
          </w:tcPr>
          <w:p w:rsidR="00810FE8" w:rsidRDefault="00810FE8" w:rsidP="00D4513C">
            <w:pPr>
              <w:jc w:val="center"/>
              <w:rPr>
                <w:rFonts w:ascii="Arial" w:hAnsi="Arial" w:cs="Arial"/>
                <w:color w:val="000000"/>
                <w:sz w:val="20"/>
                <w:szCs w:val="20"/>
              </w:rPr>
            </w:pPr>
            <w:r>
              <w:rPr>
                <w:rFonts w:ascii="Arial" w:hAnsi="Arial" w:cs="Arial"/>
                <w:color w:val="000000"/>
                <w:sz w:val="20"/>
                <w:szCs w:val="20"/>
              </w:rPr>
              <w:t>1.50%</w:t>
            </w:r>
          </w:p>
        </w:tc>
      </w:tr>
    </w:tbl>
    <w:p w:rsidR="00810FE8" w:rsidRDefault="00810FE8" w:rsidP="00810FE8">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810FE8" w:rsidRDefault="00810FE8" w:rsidP="00810FE8">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810FE8" w:rsidRDefault="00810FE8" w:rsidP="00810FE8">
      <w:pPr>
        <w:pStyle w:val="NormalWeb"/>
        <w:rPr>
          <w:rFonts w:ascii="Arial" w:hAnsi="Arial" w:cs="Arial"/>
          <w:b/>
          <w:color w:val="000000"/>
          <w:sz w:val="20"/>
          <w:szCs w:val="20"/>
        </w:rPr>
      </w:pPr>
      <w:bookmarkStart w:id="0" w:name="_GoBack"/>
      <w:bookmarkEnd w:id="0"/>
    </w:p>
    <w:p w:rsidR="00810FE8" w:rsidRDefault="00810FE8" w:rsidP="00810FE8">
      <w:r>
        <w:t>More details can be referred to in the below link.</w:t>
      </w:r>
    </w:p>
    <w:p w:rsidR="00810FE8" w:rsidRDefault="00810FE8" w:rsidP="00810FE8">
      <w:pPr>
        <w:spacing w:line="259" w:lineRule="auto"/>
        <w:rPr>
          <w:rStyle w:val="Hyperlink"/>
          <w:rFonts w:ascii="Arial" w:hAnsi="Arial" w:cs="Arial"/>
          <w:bCs/>
          <w:sz w:val="20"/>
          <w:szCs w:val="20"/>
        </w:rPr>
      </w:pPr>
      <w:r>
        <w:rPr>
          <w:rFonts w:ascii="Arial" w:hAnsi="Arial" w:cs="Arial"/>
          <w:bCs/>
          <w:color w:val="000000"/>
          <w:sz w:val="20"/>
          <w:szCs w:val="20"/>
        </w:rPr>
        <w:t xml:space="preserve">Reference Link: </w:t>
      </w:r>
      <w:hyperlink r:id="rId80" w:history="1">
        <w:r w:rsidRPr="006865D6">
          <w:rPr>
            <w:rStyle w:val="Hyperlink"/>
            <w:rFonts w:ascii="Arial" w:hAnsi="Arial" w:cs="Arial"/>
            <w:bCs/>
            <w:sz w:val="20"/>
            <w:szCs w:val="20"/>
          </w:rPr>
          <w:t>https://www.rbi.org.in/scripts/NotificationUser.aspx?Id=12411&amp;Mode=0</w:t>
        </w:r>
      </w:hyperlink>
    </w:p>
    <w:p w:rsidR="00810FE8" w:rsidRDefault="00810FE8" w:rsidP="00810FE8">
      <w:pPr>
        <w:pStyle w:val="NormalWeb"/>
        <w:rPr>
          <w:rFonts w:ascii="Arial" w:hAnsi="Arial" w:cs="Arial"/>
          <w:b/>
          <w:bCs/>
          <w:color w:val="000000"/>
          <w:sz w:val="20"/>
          <w:szCs w:val="20"/>
        </w:rPr>
      </w:pPr>
      <w:r>
        <w:rPr>
          <w:rFonts w:ascii="Arial" w:hAnsi="Arial" w:cs="Arial"/>
          <w:b/>
          <w:bCs/>
          <w:color w:val="000000"/>
          <w:sz w:val="20"/>
          <w:szCs w:val="20"/>
        </w:rPr>
        <w:lastRenderedPageBreak/>
        <w:t>Inclusion of Goods and Service Tax Network (GSTN) as a Financial Information Provider under Account Aggregator Framework</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RBI/2022-23/140</w:t>
      </w:r>
      <w:r>
        <w:rPr>
          <w:rFonts w:ascii="Arial" w:hAnsi="Arial" w:cs="Arial"/>
          <w:color w:val="000000"/>
          <w:sz w:val="20"/>
          <w:szCs w:val="20"/>
        </w:rPr>
        <w:br/>
        <w:t>DoR.FIN.REC.82/03.10.123/2022-23</w:t>
      </w:r>
    </w:p>
    <w:p w:rsidR="00810FE8" w:rsidRDefault="00810FE8" w:rsidP="00810FE8">
      <w:pPr>
        <w:pStyle w:val="NormalWeb"/>
        <w:jc w:val="right"/>
        <w:rPr>
          <w:rFonts w:ascii="Arial" w:hAnsi="Arial" w:cs="Arial"/>
          <w:color w:val="000000"/>
          <w:sz w:val="20"/>
          <w:szCs w:val="20"/>
        </w:rPr>
      </w:pPr>
      <w:r>
        <w:rPr>
          <w:rFonts w:ascii="Arial" w:hAnsi="Arial" w:cs="Arial"/>
          <w:color w:val="000000"/>
          <w:sz w:val="20"/>
          <w:szCs w:val="20"/>
        </w:rPr>
        <w:t>November 23, 2022</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To All Regulated Entities of the Bank</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Madam/Dear Sir,</w:t>
      </w:r>
    </w:p>
    <w:p w:rsidR="00810FE8" w:rsidRDefault="00810FE8" w:rsidP="00810FE8">
      <w:pPr>
        <w:pStyle w:val="head"/>
        <w:jc w:val="both"/>
        <w:rPr>
          <w:rFonts w:ascii="Arial" w:hAnsi="Arial" w:cs="Arial"/>
          <w:b/>
          <w:bCs/>
          <w:color w:val="000000"/>
          <w:sz w:val="20"/>
          <w:szCs w:val="20"/>
        </w:rPr>
      </w:pPr>
      <w:r>
        <w:rPr>
          <w:rFonts w:ascii="Arial" w:hAnsi="Arial" w:cs="Arial"/>
          <w:b/>
          <w:bCs/>
          <w:color w:val="000000"/>
          <w:sz w:val="20"/>
          <w:szCs w:val="20"/>
        </w:rPr>
        <w:t>Inclusion of Goods and Service Tax Network (GSTN) as a Financial Information Provider under Account Aggregator Framework</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81" w:tgtFrame="_blank" w:history="1">
        <w:r>
          <w:rPr>
            <w:rStyle w:val="Hyperlink"/>
            <w:rFonts w:ascii="Arial" w:hAnsi="Arial" w:cs="Arial"/>
            <w:sz w:val="20"/>
            <w:szCs w:val="20"/>
          </w:rPr>
          <w:t>Master Direction – Non-Banking Financial Company - Account Aggregator (Reserve Bank) Directions, 2016 dated September 02, 2016</w:t>
        </w:r>
      </w:hyperlink>
      <w:r>
        <w:rPr>
          <w:rFonts w:ascii="Arial" w:hAnsi="Arial" w:cs="Arial"/>
          <w:color w:val="000000"/>
          <w:sz w:val="20"/>
          <w:szCs w:val="20"/>
        </w:rPr>
        <w:t>.</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2. With a view to facilitate cash flow-based lending to MSMEs, it has been decided to include Goods and Services Tax Network (GSTN) as a Financial Information Provider (FIP) under the Account Aggregator (AA) framework. Department of Revenue shall be the regulator of GSTN for this specific purpose and Goods and Services Tax (GST) Returns, viz. Form GSTR-1 and Form GSTR-3B, shall be the Financial Information.</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3. Accordingly, the select instructions contained in the Master Direction referred to above have been amended, as detailed in the </w:t>
      </w:r>
      <w:hyperlink r:id="rId82" w:anchor="AN1" w:history="1">
        <w:r>
          <w:rPr>
            <w:rStyle w:val="Hyperlink"/>
            <w:rFonts w:ascii="Arial" w:hAnsi="Arial" w:cs="Arial"/>
            <w:sz w:val="20"/>
            <w:szCs w:val="20"/>
          </w:rPr>
          <w:t>Annex</w:t>
        </w:r>
      </w:hyperlink>
      <w:r>
        <w:rPr>
          <w:rFonts w:ascii="Arial" w:hAnsi="Arial" w:cs="Arial"/>
          <w:color w:val="000000"/>
          <w:sz w:val="20"/>
          <w:szCs w:val="20"/>
        </w:rPr>
        <w:t>.</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Yours faithfully,</w:t>
      </w:r>
    </w:p>
    <w:p w:rsidR="00810FE8" w:rsidRDefault="00810FE8" w:rsidP="00810FE8">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810FE8" w:rsidRDefault="00810FE8" w:rsidP="00810FE8">
      <w:pPr>
        <w:pStyle w:val="NormalWeb"/>
        <w:rPr>
          <w:rFonts w:ascii="Arial" w:hAnsi="Arial" w:cs="Arial"/>
          <w:b/>
          <w:color w:val="000000"/>
          <w:sz w:val="20"/>
          <w:szCs w:val="20"/>
        </w:rPr>
      </w:pPr>
    </w:p>
    <w:p w:rsidR="00810FE8" w:rsidRDefault="00810FE8" w:rsidP="00810FE8"/>
    <w:p w:rsidR="00810FE8" w:rsidRDefault="00810FE8" w:rsidP="00810FE8">
      <w:r>
        <w:t>More details can be referred to in the below link.</w:t>
      </w:r>
    </w:p>
    <w:p w:rsidR="00810FE8" w:rsidRDefault="00810FE8" w:rsidP="00810FE8">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83" w:history="1">
        <w:r w:rsidRPr="006865D6">
          <w:rPr>
            <w:rStyle w:val="Hyperlink"/>
            <w:rFonts w:ascii="Arial" w:hAnsi="Arial" w:cs="Arial"/>
            <w:bCs/>
            <w:sz w:val="20"/>
            <w:szCs w:val="20"/>
          </w:rPr>
          <w:t>https://www.rbi.org.in/scripts/NotificationUser.aspx?Id=12412&amp;Mode=0</w:t>
        </w:r>
      </w:hyperlink>
    </w:p>
    <w:p w:rsidR="00810FE8" w:rsidRDefault="00810FE8" w:rsidP="00810FE8">
      <w:pPr>
        <w:pStyle w:val="NormalWeb"/>
        <w:rPr>
          <w:rFonts w:ascii="Arial" w:hAnsi="Arial" w:cs="Arial"/>
          <w:bCs/>
          <w:color w:val="000000"/>
          <w:sz w:val="20"/>
          <w:szCs w:val="20"/>
        </w:rPr>
      </w:pPr>
    </w:p>
    <w:p w:rsidR="00810FE8" w:rsidRDefault="00810FE8" w:rsidP="00810FE8">
      <w:pPr>
        <w:pStyle w:val="NormalWeb"/>
        <w:rPr>
          <w:rFonts w:ascii="Arial" w:hAnsi="Arial" w:cs="Arial"/>
          <w:bCs/>
          <w:color w:val="000000"/>
          <w:sz w:val="20"/>
          <w:szCs w:val="20"/>
        </w:rPr>
      </w:pPr>
    </w:p>
    <w:p w:rsidR="00810FE8" w:rsidRDefault="00810FE8" w:rsidP="00810FE8">
      <w:pPr>
        <w:pStyle w:val="NormalWeb"/>
        <w:rPr>
          <w:rFonts w:ascii="Arial" w:hAnsi="Arial" w:cs="Arial"/>
          <w:bCs/>
          <w:color w:val="000000"/>
          <w:sz w:val="20"/>
          <w:szCs w:val="20"/>
        </w:rPr>
      </w:pPr>
    </w:p>
    <w:p w:rsidR="00810FE8" w:rsidRDefault="00810FE8" w:rsidP="00810FE8">
      <w:pPr>
        <w:pStyle w:val="NormalWeb"/>
        <w:rPr>
          <w:rFonts w:ascii="Arial" w:hAnsi="Arial" w:cs="Arial"/>
          <w:bCs/>
          <w:color w:val="000000"/>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after="0"/>
        <w:rPr>
          <w:rFonts w:ascii="Arial" w:hAnsi="Arial" w:cs="Arial"/>
          <w:b/>
          <w:bCs/>
          <w:color w:val="000000"/>
          <w:sz w:val="20"/>
          <w:szCs w:val="20"/>
        </w:rPr>
      </w:pPr>
      <w:r>
        <w:rPr>
          <w:rFonts w:ascii="Arial" w:hAnsi="Arial" w:cs="Arial"/>
          <w:b/>
          <w:bCs/>
          <w:color w:val="000000"/>
          <w:sz w:val="20"/>
          <w:szCs w:val="20"/>
        </w:rPr>
        <w:lastRenderedPageBreak/>
        <w:t xml:space="preserve">Operations of subsidiaries and branches of Indian banks and All India Financial Institutions (AIFIs) in foreign jurisdictions and in International Financial Services </w:t>
      </w:r>
      <w:proofErr w:type="spellStart"/>
      <w:r>
        <w:rPr>
          <w:rFonts w:ascii="Arial" w:hAnsi="Arial" w:cs="Arial"/>
          <w:b/>
          <w:bCs/>
          <w:color w:val="000000"/>
          <w:sz w:val="20"/>
          <w:szCs w:val="20"/>
        </w:rPr>
        <w:t>Centers</w:t>
      </w:r>
      <w:proofErr w:type="spellEnd"/>
      <w:r>
        <w:rPr>
          <w:rFonts w:ascii="Arial" w:hAnsi="Arial" w:cs="Arial"/>
          <w:b/>
          <w:bCs/>
          <w:color w:val="000000"/>
          <w:sz w:val="20"/>
          <w:szCs w:val="20"/>
        </w:rPr>
        <w:t xml:space="preserve"> (IFSCs) - Compliance with statutory/regulatory norms</w:t>
      </w:r>
    </w:p>
    <w:p w:rsidR="00810FE8" w:rsidRDefault="00810FE8" w:rsidP="00810FE8">
      <w:pPr>
        <w:spacing w:after="0"/>
        <w:rPr>
          <w:rFonts w:ascii="Arial" w:hAnsi="Arial" w:cs="Arial"/>
          <w:b/>
          <w:bCs/>
          <w:color w:val="000000"/>
          <w:sz w:val="20"/>
          <w:szCs w:val="20"/>
        </w:rPr>
      </w:pP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RBI/2022-23/145</w:t>
      </w:r>
      <w:r>
        <w:rPr>
          <w:rFonts w:ascii="Arial" w:hAnsi="Arial" w:cs="Arial"/>
          <w:color w:val="000000"/>
          <w:sz w:val="20"/>
          <w:szCs w:val="20"/>
        </w:rPr>
        <w:br/>
        <w:t>DOR.MRG.REC.87/00-00-020/2022-23</w:t>
      </w:r>
    </w:p>
    <w:p w:rsidR="00810FE8" w:rsidRDefault="00810FE8" w:rsidP="00810FE8">
      <w:pPr>
        <w:pStyle w:val="NormalWeb"/>
        <w:jc w:val="right"/>
        <w:rPr>
          <w:rFonts w:ascii="Arial" w:hAnsi="Arial" w:cs="Arial"/>
          <w:color w:val="000000"/>
          <w:sz w:val="20"/>
          <w:szCs w:val="20"/>
        </w:rPr>
      </w:pPr>
      <w:r>
        <w:rPr>
          <w:rFonts w:ascii="Arial" w:hAnsi="Arial" w:cs="Arial"/>
          <w:color w:val="000000"/>
          <w:sz w:val="20"/>
          <w:szCs w:val="20"/>
        </w:rPr>
        <w:t>December 1, 2022</w:t>
      </w:r>
    </w:p>
    <w:p w:rsidR="00810FE8" w:rsidRDefault="00810FE8" w:rsidP="00810FE8">
      <w:pPr>
        <w:pStyle w:val="head"/>
        <w:jc w:val="both"/>
        <w:rPr>
          <w:rFonts w:ascii="Arial" w:hAnsi="Arial" w:cs="Arial"/>
          <w:b/>
          <w:bCs/>
          <w:color w:val="000000"/>
          <w:sz w:val="20"/>
          <w:szCs w:val="20"/>
        </w:rPr>
      </w:pPr>
      <w:r>
        <w:rPr>
          <w:rFonts w:ascii="Arial" w:hAnsi="Arial" w:cs="Arial"/>
          <w:b/>
          <w:bCs/>
          <w:color w:val="000000"/>
          <w:sz w:val="20"/>
          <w:szCs w:val="20"/>
        </w:rPr>
        <w:t xml:space="preserve">Operations of subsidiaries and branches of Indian banks and All India Financial Institutions (AIFIs) in foreign jurisdictions and in International Financial Services </w:t>
      </w:r>
      <w:proofErr w:type="spellStart"/>
      <w:r>
        <w:rPr>
          <w:rFonts w:ascii="Arial" w:hAnsi="Arial" w:cs="Arial"/>
          <w:b/>
          <w:bCs/>
          <w:color w:val="000000"/>
          <w:sz w:val="20"/>
          <w:szCs w:val="20"/>
        </w:rPr>
        <w:t>Centers</w:t>
      </w:r>
      <w:proofErr w:type="spellEnd"/>
      <w:r>
        <w:rPr>
          <w:rFonts w:ascii="Arial" w:hAnsi="Arial" w:cs="Arial"/>
          <w:b/>
          <w:bCs/>
          <w:color w:val="000000"/>
          <w:sz w:val="20"/>
          <w:szCs w:val="20"/>
        </w:rPr>
        <w:t xml:space="preserve"> (IFSCs) - Compliance with statutory/regulatory norms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As you are aware, Reserve Bank had vide </w:t>
      </w:r>
      <w:hyperlink r:id="rId84" w:tgtFrame="_blank" w:history="1">
        <w:r>
          <w:rPr>
            <w:rStyle w:val="Hyperlink"/>
            <w:rFonts w:ascii="Arial" w:hAnsi="Arial" w:cs="Arial"/>
            <w:sz w:val="20"/>
            <w:szCs w:val="20"/>
          </w:rPr>
          <w:t>circular DBOD.No.BP.BC.89/21.04.141/2008-09 dated December 1, 2008</w:t>
        </w:r>
      </w:hyperlink>
      <w:r>
        <w:rPr>
          <w:rFonts w:ascii="Arial" w:hAnsi="Arial" w:cs="Arial"/>
          <w:color w:val="000000"/>
          <w:sz w:val="20"/>
          <w:szCs w:val="20"/>
        </w:rPr>
        <w:t> and </w:t>
      </w:r>
      <w:hyperlink r:id="rId85" w:tgtFrame="_blank" w:history="1">
        <w:r>
          <w:rPr>
            <w:rStyle w:val="Hyperlink"/>
            <w:rFonts w:ascii="Arial" w:hAnsi="Arial" w:cs="Arial"/>
            <w:sz w:val="20"/>
            <w:szCs w:val="20"/>
          </w:rPr>
          <w:t>circular DBOD.No.BP.BC.111/21.04.157/2013-14 dated May 12, 2014</w:t>
        </w:r>
      </w:hyperlink>
      <w:r>
        <w:rPr>
          <w:rFonts w:ascii="Arial" w:hAnsi="Arial" w:cs="Arial"/>
          <w:color w:val="000000"/>
          <w:sz w:val="20"/>
          <w:szCs w:val="20"/>
        </w:rPr>
        <w:t xml:space="preserve"> issued instructions to Indian banks and AIFIs on the issue of dealing in financial products by their branches/subsidiaries operating outside India. On a review, it was felt that a framework needs to be in place to allow them to undertake activities which are not specifically permitted in the Indian domestic market and also to specify the applicability of these instructions to International Financial Services </w:t>
      </w:r>
      <w:proofErr w:type="spellStart"/>
      <w:r>
        <w:rPr>
          <w:rFonts w:ascii="Arial" w:hAnsi="Arial" w:cs="Arial"/>
          <w:color w:val="000000"/>
          <w:sz w:val="20"/>
          <w:szCs w:val="20"/>
        </w:rPr>
        <w:t>Centers</w:t>
      </w:r>
      <w:proofErr w:type="spellEnd"/>
      <w:r>
        <w:rPr>
          <w:rFonts w:ascii="Arial" w:hAnsi="Arial" w:cs="Arial"/>
          <w:color w:val="000000"/>
          <w:sz w:val="20"/>
          <w:szCs w:val="20"/>
        </w:rPr>
        <w:t xml:space="preserve"> (IFSCs) in India including Gujarat International Finance Tec-City (GIFT City).</w:t>
      </w:r>
    </w:p>
    <w:p w:rsidR="00810FE8" w:rsidRDefault="00810FE8" w:rsidP="00810FE8">
      <w:pPr>
        <w:pStyle w:val="head"/>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1. Applicability and commencement</w:t>
      </w:r>
    </w:p>
    <w:p w:rsidR="00810FE8" w:rsidRDefault="00810FE8" w:rsidP="00810FE8">
      <w:pPr>
        <w:pStyle w:val="head"/>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2. Dealing in financial products</w:t>
      </w:r>
    </w:p>
    <w:p w:rsidR="00810FE8" w:rsidRDefault="00810FE8" w:rsidP="00810FE8">
      <w:pPr>
        <w:pStyle w:val="head"/>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3. Conditions for dealing in financial products</w:t>
      </w:r>
    </w:p>
    <w:p w:rsidR="00810FE8" w:rsidRDefault="00810FE8" w:rsidP="00810FE8">
      <w:pPr>
        <w:pStyle w:val="head"/>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4. Compliance with prudential norms</w:t>
      </w:r>
    </w:p>
    <w:p w:rsidR="00810FE8" w:rsidRDefault="00810FE8" w:rsidP="00810FE8">
      <w:pPr>
        <w:pStyle w:val="head"/>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5. Activities subject to Indian laws</w:t>
      </w:r>
    </w:p>
    <w:p w:rsidR="00810FE8" w:rsidRPr="002313C4" w:rsidRDefault="00810FE8" w:rsidP="00810FE8">
      <w:pPr>
        <w:pStyle w:val="head"/>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6. Repeal of earlier instructions</w:t>
      </w:r>
    </w:p>
    <w:p w:rsidR="00810FE8" w:rsidRDefault="00810FE8" w:rsidP="00810FE8">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810FE8" w:rsidRDefault="00810FE8" w:rsidP="00810F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810FE8" w:rsidRDefault="00810FE8" w:rsidP="00810FE8">
      <w:pPr>
        <w:spacing w:after="0"/>
        <w:rPr>
          <w:rFonts w:ascii="Arial" w:hAnsi="Arial" w:cs="Arial"/>
          <w:sz w:val="20"/>
          <w:szCs w:val="20"/>
        </w:rPr>
      </w:pPr>
    </w:p>
    <w:p w:rsidR="00810FE8" w:rsidRDefault="00810FE8" w:rsidP="00810FE8">
      <w:pPr>
        <w:spacing w:after="0"/>
        <w:rPr>
          <w:rFonts w:ascii="Arial" w:hAnsi="Arial" w:cs="Arial"/>
          <w:sz w:val="20"/>
          <w:szCs w:val="20"/>
        </w:rPr>
      </w:pPr>
    </w:p>
    <w:p w:rsidR="00810FE8" w:rsidRDefault="00810FE8" w:rsidP="00810FE8">
      <w:pPr>
        <w:spacing w:after="0"/>
        <w:rPr>
          <w:rFonts w:ascii="Arial" w:hAnsi="Arial" w:cs="Arial"/>
          <w:sz w:val="20"/>
          <w:szCs w:val="20"/>
        </w:rPr>
      </w:pPr>
    </w:p>
    <w:p w:rsidR="00810FE8" w:rsidRDefault="00810FE8" w:rsidP="00810FE8">
      <w:pPr>
        <w:spacing w:after="0"/>
        <w:rPr>
          <w:rFonts w:ascii="Arial" w:hAnsi="Arial" w:cs="Arial"/>
          <w:sz w:val="20"/>
          <w:szCs w:val="20"/>
        </w:rPr>
      </w:pPr>
    </w:p>
    <w:p w:rsidR="00810FE8" w:rsidRDefault="00810FE8" w:rsidP="00810FE8">
      <w:pPr>
        <w:spacing w:after="0"/>
        <w:rPr>
          <w:rFonts w:ascii="Arial" w:hAnsi="Arial" w:cs="Arial"/>
          <w:sz w:val="20"/>
          <w:szCs w:val="20"/>
        </w:rPr>
      </w:pPr>
    </w:p>
    <w:p w:rsidR="00810FE8" w:rsidRDefault="00810FE8" w:rsidP="00810FE8">
      <w:pPr>
        <w:spacing w:after="0"/>
        <w:rPr>
          <w:rFonts w:ascii="Arial" w:hAnsi="Arial" w:cs="Arial"/>
          <w:sz w:val="20"/>
          <w:szCs w:val="20"/>
        </w:rPr>
      </w:pPr>
    </w:p>
    <w:p w:rsidR="00810FE8" w:rsidRPr="00435B25" w:rsidRDefault="00810FE8" w:rsidP="00810FE8">
      <w:pPr>
        <w:spacing w:after="0"/>
        <w:rPr>
          <w:rFonts w:ascii="Arial" w:hAnsi="Arial" w:cs="Arial"/>
          <w:sz w:val="20"/>
          <w:szCs w:val="20"/>
        </w:rPr>
      </w:pPr>
      <w:r w:rsidRPr="00435B25">
        <w:rPr>
          <w:rFonts w:ascii="Arial" w:hAnsi="Arial" w:cs="Arial"/>
          <w:sz w:val="20"/>
          <w:szCs w:val="20"/>
        </w:rPr>
        <w:t>More details can be referred to in the below link.</w:t>
      </w:r>
    </w:p>
    <w:p w:rsidR="00810FE8" w:rsidRDefault="00810FE8" w:rsidP="00810FE8">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86" w:history="1">
        <w:r w:rsidRPr="00200311">
          <w:rPr>
            <w:rStyle w:val="Hyperlink"/>
            <w:rFonts w:ascii="Arial" w:hAnsi="Arial" w:cs="Arial"/>
            <w:sz w:val="20"/>
            <w:szCs w:val="20"/>
          </w:rPr>
          <w:t>https://m.rbi.org.in/scripts/FS_Notification.aspx?Id=12417&amp;fn=14&amp;Mode=0</w:t>
        </w:r>
      </w:hyperlink>
    </w:p>
    <w:p w:rsidR="00810FE8" w:rsidRDefault="00810FE8" w:rsidP="00810FE8">
      <w:pPr>
        <w:pStyle w:val="NormalWeb"/>
        <w:rPr>
          <w:rFonts w:ascii="Arial" w:hAnsi="Arial" w:cs="Arial"/>
          <w:b/>
          <w:color w:val="000000"/>
          <w:sz w:val="20"/>
          <w:szCs w:val="20"/>
        </w:rPr>
      </w:pPr>
    </w:p>
    <w:p w:rsidR="00810FE8" w:rsidRDefault="00810FE8" w:rsidP="00810FE8">
      <w:pPr>
        <w:pStyle w:val="NormalWeb"/>
        <w:rPr>
          <w:rFonts w:ascii="Arial" w:hAnsi="Arial" w:cs="Arial"/>
          <w:b/>
          <w:color w:val="000000"/>
          <w:sz w:val="20"/>
          <w:szCs w:val="20"/>
        </w:rPr>
      </w:pPr>
    </w:p>
    <w:p w:rsidR="00810FE8" w:rsidRDefault="00810FE8" w:rsidP="00810FE8">
      <w:pPr>
        <w:pStyle w:val="NormalWeb"/>
        <w:rPr>
          <w:rFonts w:ascii="Arial" w:hAnsi="Arial" w:cs="Arial"/>
          <w:b/>
          <w:color w:val="000000"/>
          <w:sz w:val="20"/>
          <w:szCs w:val="20"/>
        </w:rPr>
      </w:pPr>
    </w:p>
    <w:p w:rsidR="00810FE8" w:rsidRDefault="00810FE8" w:rsidP="00810FE8">
      <w:pPr>
        <w:pStyle w:val="NormalWeb"/>
        <w:rPr>
          <w:rFonts w:ascii="Arial" w:hAnsi="Arial" w:cs="Arial"/>
          <w:b/>
          <w:color w:val="000000"/>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b/>
          <w:bCs/>
          <w:color w:val="000000"/>
          <w:sz w:val="20"/>
          <w:szCs w:val="20"/>
        </w:rPr>
      </w:pPr>
      <w:r>
        <w:rPr>
          <w:rFonts w:ascii="Arial" w:hAnsi="Arial" w:cs="Arial"/>
          <w:b/>
          <w:bCs/>
          <w:color w:val="000000"/>
          <w:sz w:val="20"/>
          <w:szCs w:val="20"/>
        </w:rPr>
        <w:lastRenderedPageBreak/>
        <w:t>Revised Regulatory Framework for Urban Co-operative Banks (UCBs) – Net Worth and Capital Adequacy</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RBI/2022-23/146</w:t>
      </w:r>
      <w:r>
        <w:rPr>
          <w:rFonts w:ascii="Arial" w:hAnsi="Arial" w:cs="Arial"/>
          <w:color w:val="000000"/>
          <w:sz w:val="20"/>
          <w:szCs w:val="20"/>
        </w:rPr>
        <w:br/>
        <w:t>DOR.CAP.REC.No.86/09.18.201/2022-23</w:t>
      </w:r>
    </w:p>
    <w:p w:rsidR="00810FE8" w:rsidRDefault="00810FE8" w:rsidP="00810FE8">
      <w:pPr>
        <w:pStyle w:val="NormalWeb"/>
        <w:jc w:val="right"/>
        <w:rPr>
          <w:rFonts w:ascii="Arial" w:hAnsi="Arial" w:cs="Arial"/>
          <w:color w:val="000000"/>
          <w:sz w:val="20"/>
          <w:szCs w:val="20"/>
        </w:rPr>
      </w:pPr>
      <w:r>
        <w:rPr>
          <w:rFonts w:ascii="Arial" w:hAnsi="Arial" w:cs="Arial"/>
          <w:color w:val="000000"/>
          <w:sz w:val="20"/>
          <w:szCs w:val="20"/>
        </w:rPr>
        <w:t>December 1, 2022</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Dear Sir/Madam,</w:t>
      </w:r>
    </w:p>
    <w:p w:rsidR="00810FE8" w:rsidRDefault="00810FE8" w:rsidP="00810FE8">
      <w:pPr>
        <w:pStyle w:val="head"/>
        <w:jc w:val="both"/>
        <w:rPr>
          <w:rFonts w:ascii="Arial" w:hAnsi="Arial" w:cs="Arial"/>
          <w:b/>
          <w:bCs/>
          <w:color w:val="000000"/>
          <w:sz w:val="20"/>
          <w:szCs w:val="20"/>
        </w:rPr>
      </w:pPr>
      <w:r>
        <w:rPr>
          <w:rFonts w:ascii="Arial" w:hAnsi="Arial" w:cs="Arial"/>
          <w:b/>
          <w:bCs/>
          <w:color w:val="000000"/>
          <w:sz w:val="20"/>
          <w:szCs w:val="20"/>
        </w:rPr>
        <w:t>Revised Regulatory Framework for Urban Co-operative Banks (UCBs) – Net Worth and Capital Adequacy</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Please refer to the Revised Regulatory Framework for Urban Co-operative Banks (UCBs) emanating from the recommendations of Expert Committee on Urban Co-operative Banks (</w:t>
      </w:r>
      <w:hyperlink r:id="rId87" w:tgtFrame="_blank" w:history="1">
        <w:r>
          <w:rPr>
            <w:rStyle w:val="Hyperlink"/>
            <w:rFonts w:ascii="Arial" w:hAnsi="Arial" w:cs="Arial"/>
            <w:sz w:val="20"/>
            <w:szCs w:val="20"/>
          </w:rPr>
          <w:t>Press Release: 2022-2023/561 dated July 19, 2022</w:t>
        </w:r>
      </w:hyperlink>
      <w:r>
        <w:rPr>
          <w:rFonts w:ascii="Arial" w:hAnsi="Arial" w:cs="Arial"/>
          <w:color w:val="000000"/>
          <w:sz w:val="20"/>
          <w:szCs w:val="20"/>
        </w:rPr>
        <w:t>) and </w:t>
      </w:r>
      <w:hyperlink r:id="rId88" w:tgtFrame="_blank" w:history="1">
        <w:r>
          <w:rPr>
            <w:rStyle w:val="Hyperlink"/>
            <w:rFonts w:ascii="Arial" w:hAnsi="Arial" w:cs="Arial"/>
            <w:sz w:val="20"/>
            <w:szCs w:val="20"/>
          </w:rPr>
          <w:t>circular no. DOR.REG.No.84/07.01.000/2022-23 dated December 1, 2022</w:t>
        </w:r>
      </w:hyperlink>
      <w:r>
        <w:rPr>
          <w:rFonts w:ascii="Arial" w:hAnsi="Arial" w:cs="Arial"/>
          <w:color w:val="000000"/>
          <w:sz w:val="20"/>
          <w:szCs w:val="20"/>
        </w:rPr>
        <w:t>, on Revised Regulatory Framework - Categorization of Urban Co-operative Banks (UCBs) for Regulatory Purposes. The detailed guidelines are provided below:</w:t>
      </w:r>
    </w:p>
    <w:p w:rsidR="00810FE8" w:rsidRDefault="00810FE8" w:rsidP="00810FE8">
      <w:pPr>
        <w:pStyle w:val="head"/>
        <w:jc w:val="both"/>
        <w:rPr>
          <w:rFonts w:ascii="Arial" w:hAnsi="Arial" w:cs="Arial"/>
          <w:b/>
          <w:bCs/>
          <w:color w:val="000000"/>
          <w:sz w:val="20"/>
          <w:szCs w:val="20"/>
        </w:rPr>
      </w:pPr>
      <w:r>
        <w:rPr>
          <w:rFonts w:ascii="Arial" w:hAnsi="Arial" w:cs="Arial"/>
          <w:b/>
          <w:bCs/>
          <w:color w:val="000000"/>
          <w:sz w:val="20"/>
          <w:szCs w:val="20"/>
        </w:rPr>
        <w:t>A. Net Worth</w:t>
      </w:r>
    </w:p>
    <w:p w:rsidR="00810FE8" w:rsidRDefault="00810FE8" w:rsidP="00810FE8">
      <w:pPr>
        <w:pStyle w:val="NormalWeb"/>
        <w:spacing w:after="0" w:afterAutospacing="0"/>
        <w:jc w:val="both"/>
        <w:rPr>
          <w:rFonts w:ascii="Arial" w:hAnsi="Arial" w:cs="Arial"/>
          <w:color w:val="000000"/>
          <w:sz w:val="20"/>
          <w:szCs w:val="20"/>
        </w:rPr>
      </w:pPr>
      <w:r>
        <w:rPr>
          <w:rFonts w:ascii="Arial" w:hAnsi="Arial" w:cs="Arial"/>
          <w:color w:val="000000"/>
          <w:sz w:val="20"/>
          <w:szCs w:val="20"/>
        </w:rPr>
        <w:t>2. UCBs shall have minimum net worth as under:</w:t>
      </w:r>
    </w:p>
    <w:p w:rsidR="00810FE8" w:rsidRDefault="00810FE8" w:rsidP="00810FE8">
      <w:pPr>
        <w:pStyle w:val="NormalWeb"/>
        <w:numPr>
          <w:ilvl w:val="0"/>
          <w:numId w:val="32"/>
        </w:numPr>
        <w:spacing w:before="0" w:beforeAutospacing="0"/>
        <w:ind w:left="0"/>
        <w:jc w:val="both"/>
        <w:rPr>
          <w:rFonts w:ascii="Arial" w:hAnsi="Arial" w:cs="Arial"/>
          <w:color w:val="000000"/>
          <w:sz w:val="20"/>
          <w:szCs w:val="20"/>
        </w:rPr>
      </w:pPr>
      <w:r>
        <w:rPr>
          <w:rFonts w:ascii="Arial" w:hAnsi="Arial" w:cs="Arial"/>
          <w:color w:val="000000"/>
          <w:sz w:val="20"/>
          <w:szCs w:val="20"/>
        </w:rPr>
        <w:t xml:space="preserve">Tier 1 UCBs operating in a single district shall have minimum net worth of ₹2 </w:t>
      </w:r>
      <w:proofErr w:type="gramStart"/>
      <w:r>
        <w:rPr>
          <w:rFonts w:ascii="Arial" w:hAnsi="Arial" w:cs="Arial"/>
          <w:color w:val="000000"/>
          <w:sz w:val="20"/>
          <w:szCs w:val="20"/>
        </w:rPr>
        <w:t>crore</w:t>
      </w:r>
      <w:proofErr w:type="gramEnd"/>
      <w:r>
        <w:rPr>
          <w:rFonts w:ascii="Arial" w:hAnsi="Arial" w:cs="Arial"/>
          <w:color w:val="000000"/>
          <w:sz w:val="20"/>
          <w:szCs w:val="20"/>
        </w:rPr>
        <w:t>.</w:t>
      </w:r>
    </w:p>
    <w:p w:rsidR="00810FE8" w:rsidRDefault="00810FE8" w:rsidP="00810FE8">
      <w:pPr>
        <w:pStyle w:val="NormalWeb"/>
        <w:numPr>
          <w:ilvl w:val="0"/>
          <w:numId w:val="32"/>
        </w:numPr>
        <w:ind w:left="0"/>
        <w:jc w:val="both"/>
        <w:rPr>
          <w:rFonts w:ascii="Arial" w:hAnsi="Arial" w:cs="Arial"/>
          <w:color w:val="000000"/>
          <w:sz w:val="20"/>
          <w:szCs w:val="20"/>
        </w:rPr>
      </w:pPr>
      <w:r>
        <w:rPr>
          <w:rFonts w:ascii="Arial" w:hAnsi="Arial" w:cs="Arial"/>
          <w:color w:val="000000"/>
          <w:sz w:val="20"/>
          <w:szCs w:val="20"/>
        </w:rPr>
        <w:t xml:space="preserve">All other UCBs (of all tiers) shall have minimum net worth of ₹5 </w:t>
      </w:r>
      <w:proofErr w:type="gramStart"/>
      <w:r>
        <w:rPr>
          <w:rFonts w:ascii="Arial" w:hAnsi="Arial" w:cs="Arial"/>
          <w:color w:val="000000"/>
          <w:sz w:val="20"/>
          <w:szCs w:val="20"/>
        </w:rPr>
        <w:t>crore</w:t>
      </w:r>
      <w:proofErr w:type="gramEnd"/>
      <w:r>
        <w:rPr>
          <w:rFonts w:ascii="Arial" w:hAnsi="Arial" w:cs="Arial"/>
          <w:color w:val="000000"/>
          <w:sz w:val="20"/>
          <w:szCs w:val="20"/>
        </w:rPr>
        <w:t>.</w:t>
      </w:r>
    </w:p>
    <w:p w:rsidR="00810FE8" w:rsidRDefault="00810FE8" w:rsidP="00810FE8">
      <w:pPr>
        <w:pStyle w:val="NormalWeb"/>
        <w:numPr>
          <w:ilvl w:val="0"/>
          <w:numId w:val="32"/>
        </w:numPr>
        <w:spacing w:after="0" w:afterAutospacing="0"/>
        <w:ind w:left="0"/>
        <w:jc w:val="both"/>
        <w:rPr>
          <w:rFonts w:ascii="Arial" w:hAnsi="Arial" w:cs="Arial"/>
          <w:color w:val="000000"/>
          <w:sz w:val="20"/>
          <w:szCs w:val="20"/>
        </w:rPr>
      </w:pPr>
      <w:r>
        <w:rPr>
          <w:rFonts w:ascii="Arial" w:hAnsi="Arial" w:cs="Arial"/>
          <w:color w:val="000000"/>
          <w:sz w:val="20"/>
          <w:szCs w:val="20"/>
        </w:rPr>
        <w:t xml:space="preserve">UCBs which currently do not meet the minimum net worth requirement, as above, shall achieve the minimum net worth of ₹2 crore or ₹5 </w:t>
      </w:r>
      <w:proofErr w:type="gramStart"/>
      <w:r>
        <w:rPr>
          <w:rFonts w:ascii="Arial" w:hAnsi="Arial" w:cs="Arial"/>
          <w:color w:val="000000"/>
          <w:sz w:val="20"/>
          <w:szCs w:val="20"/>
        </w:rPr>
        <w:t>crore</w:t>
      </w:r>
      <w:proofErr w:type="gramEnd"/>
      <w:r>
        <w:rPr>
          <w:rFonts w:ascii="Arial" w:hAnsi="Arial" w:cs="Arial"/>
          <w:color w:val="000000"/>
          <w:sz w:val="20"/>
          <w:szCs w:val="20"/>
        </w:rPr>
        <w:t xml:space="preserve"> (as applicable) in a phased manner. Such UCBs shall achieve at least 50 per cent of the applicable minimum net worth on or before March 31, 2026 and the entire stipulated minimum net worth on or before March 31, 2028.</w:t>
      </w:r>
    </w:p>
    <w:p w:rsidR="00810FE8" w:rsidRDefault="00810FE8" w:rsidP="00810FE8">
      <w:pPr>
        <w:pStyle w:val="head"/>
        <w:jc w:val="both"/>
        <w:rPr>
          <w:rFonts w:ascii="Arial" w:hAnsi="Arial" w:cs="Arial"/>
          <w:b/>
          <w:bCs/>
          <w:color w:val="000000"/>
          <w:sz w:val="20"/>
          <w:szCs w:val="20"/>
        </w:rPr>
      </w:pPr>
      <w:r>
        <w:rPr>
          <w:rFonts w:ascii="Arial" w:hAnsi="Arial" w:cs="Arial"/>
          <w:b/>
          <w:bCs/>
          <w:color w:val="000000"/>
          <w:sz w:val="20"/>
          <w:szCs w:val="20"/>
        </w:rPr>
        <w:t>B. Minimum capital to risk weighted assets ratio (CRAR) requirement</w:t>
      </w:r>
    </w:p>
    <w:p w:rsidR="00810FE8" w:rsidRDefault="00810FE8" w:rsidP="00810FE8">
      <w:pPr>
        <w:pStyle w:val="NormalWeb"/>
        <w:spacing w:after="0" w:afterAutospacing="0"/>
        <w:jc w:val="both"/>
        <w:rPr>
          <w:rFonts w:ascii="Arial" w:hAnsi="Arial" w:cs="Arial"/>
          <w:color w:val="000000"/>
          <w:sz w:val="20"/>
          <w:szCs w:val="20"/>
        </w:rPr>
      </w:pPr>
      <w:r>
        <w:rPr>
          <w:rFonts w:ascii="Arial" w:hAnsi="Arial" w:cs="Arial"/>
          <w:color w:val="000000"/>
          <w:sz w:val="20"/>
          <w:szCs w:val="20"/>
        </w:rPr>
        <w:t>3. UCBs shall maintain minimum CRAR as under:</w:t>
      </w:r>
    </w:p>
    <w:p w:rsidR="00810FE8" w:rsidRDefault="00810FE8" w:rsidP="00810FE8">
      <w:pPr>
        <w:pStyle w:val="NormalWeb"/>
        <w:numPr>
          <w:ilvl w:val="0"/>
          <w:numId w:val="33"/>
        </w:numPr>
        <w:spacing w:before="0" w:beforeAutospacing="0"/>
        <w:ind w:left="0"/>
        <w:jc w:val="both"/>
        <w:rPr>
          <w:rFonts w:ascii="Arial" w:hAnsi="Arial" w:cs="Arial"/>
          <w:color w:val="000000"/>
          <w:sz w:val="20"/>
          <w:szCs w:val="20"/>
        </w:rPr>
      </w:pPr>
      <w:r>
        <w:rPr>
          <w:rFonts w:ascii="Arial" w:hAnsi="Arial" w:cs="Arial"/>
          <w:color w:val="000000"/>
          <w:sz w:val="20"/>
          <w:szCs w:val="20"/>
        </w:rPr>
        <w:t>Tier 1 UCBs shall maintain, as hitherto, a minimum CRAR of 9 per cent of Risk Weighted Assets (RWAs) on an ongoing basis.</w:t>
      </w:r>
    </w:p>
    <w:p w:rsidR="00810FE8" w:rsidRDefault="00810FE8" w:rsidP="00810FE8">
      <w:pPr>
        <w:pStyle w:val="NormalWeb"/>
        <w:numPr>
          <w:ilvl w:val="0"/>
          <w:numId w:val="33"/>
        </w:numPr>
        <w:ind w:left="0"/>
        <w:jc w:val="both"/>
        <w:rPr>
          <w:rFonts w:ascii="Arial" w:hAnsi="Arial" w:cs="Arial"/>
          <w:color w:val="000000"/>
          <w:sz w:val="20"/>
          <w:szCs w:val="20"/>
        </w:rPr>
      </w:pPr>
      <w:r>
        <w:rPr>
          <w:rFonts w:ascii="Arial" w:hAnsi="Arial" w:cs="Arial"/>
          <w:color w:val="000000"/>
          <w:sz w:val="20"/>
          <w:szCs w:val="20"/>
        </w:rPr>
        <w:t>Tier 2 to 4 UCBs shall maintain a minimum CRAR of 12 per cent of RWAs on an ongoing basis.</w:t>
      </w:r>
    </w:p>
    <w:p w:rsidR="00810FE8" w:rsidRDefault="00810FE8" w:rsidP="00810FE8">
      <w:pPr>
        <w:pStyle w:val="NormalWeb"/>
        <w:numPr>
          <w:ilvl w:val="0"/>
          <w:numId w:val="33"/>
        </w:numPr>
        <w:spacing w:after="0" w:afterAutospacing="0"/>
        <w:ind w:left="0"/>
        <w:jc w:val="both"/>
        <w:rPr>
          <w:rFonts w:ascii="Arial" w:hAnsi="Arial" w:cs="Arial"/>
          <w:color w:val="000000"/>
          <w:sz w:val="20"/>
          <w:szCs w:val="20"/>
        </w:rPr>
      </w:pPr>
      <w:r>
        <w:rPr>
          <w:rFonts w:ascii="Arial" w:hAnsi="Arial" w:cs="Arial"/>
          <w:color w:val="000000"/>
          <w:sz w:val="20"/>
          <w:szCs w:val="20"/>
        </w:rPr>
        <w:t>UCBs in Tier 2 to 4, which do not currently meet the revised CRAR of 12 per cent of RWAs, shall achieve the same in a phased manner. Such UCBs shall achieve the CRAR of at least 10 per cent by March 31, 2024, 11 per cent by March 31, 2025, and 12 per cent by March 31, 2026.</w:t>
      </w:r>
    </w:p>
    <w:p w:rsidR="00810FE8" w:rsidRDefault="00810FE8" w:rsidP="00810FE8">
      <w:pPr>
        <w:pStyle w:val="head"/>
        <w:jc w:val="both"/>
        <w:rPr>
          <w:rFonts w:ascii="Arial" w:hAnsi="Arial" w:cs="Arial"/>
          <w:b/>
          <w:bCs/>
          <w:color w:val="000000"/>
          <w:sz w:val="20"/>
          <w:szCs w:val="20"/>
        </w:rPr>
      </w:pPr>
      <w:r>
        <w:rPr>
          <w:rFonts w:ascii="Arial" w:hAnsi="Arial" w:cs="Arial"/>
          <w:b/>
          <w:bCs/>
          <w:color w:val="000000"/>
          <w:sz w:val="20"/>
          <w:szCs w:val="20"/>
        </w:rPr>
        <w:t>C. Revaluation Reserves</w:t>
      </w:r>
    </w:p>
    <w:p w:rsidR="00810FE8" w:rsidRDefault="00810FE8" w:rsidP="00810FE8">
      <w:pPr>
        <w:pStyle w:val="NormalWeb"/>
        <w:spacing w:after="0" w:afterAutospacing="0"/>
        <w:jc w:val="both"/>
        <w:rPr>
          <w:rFonts w:ascii="Arial" w:hAnsi="Arial" w:cs="Arial"/>
          <w:color w:val="000000"/>
          <w:sz w:val="20"/>
          <w:szCs w:val="20"/>
        </w:rPr>
      </w:pPr>
      <w:r>
        <w:rPr>
          <w:rFonts w:ascii="Arial" w:hAnsi="Arial" w:cs="Arial"/>
          <w:color w:val="000000"/>
          <w:sz w:val="20"/>
          <w:szCs w:val="20"/>
        </w:rPr>
        <w:t xml:space="preserve">5. Revaluation reserves, arising out of change in the carrying amount of a bank’s property consequent upon its revaluation, may henceforth be reckoned as Tier 1 capital at a discount of 55 per cent. </w:t>
      </w:r>
    </w:p>
    <w:p w:rsidR="00810FE8" w:rsidRDefault="00810FE8" w:rsidP="00810FE8">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810FE8" w:rsidRDefault="00810FE8" w:rsidP="00810FE8">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r>
        <w:t>More details can be referred to in the below link.</w:t>
      </w:r>
    </w:p>
    <w:p w:rsidR="00810FE8" w:rsidRDefault="00810FE8" w:rsidP="00810FE8">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89" w:anchor=":~:text=UCBs%20shall%20have%20minimum%20net,worth%20of%20%E2%82%B95%20crore" w:history="1">
        <w:r w:rsidRPr="00735218">
          <w:rPr>
            <w:rStyle w:val="Hyperlink"/>
            <w:rFonts w:ascii="Arial" w:hAnsi="Arial" w:cs="Arial"/>
            <w:bCs/>
            <w:sz w:val="20"/>
            <w:szCs w:val="20"/>
          </w:rPr>
          <w:t>https://m.rbi.org.in/scripts/FS_Notification.aspx?Id=12418&amp;fn=2755&amp;Mode=0#:~:text=UCBs%20shall%20have%20minimum%20net,worth%20of%20%E2%82%B95%20crore</w:t>
        </w:r>
      </w:hyperlink>
      <w:r w:rsidRPr="00587F28">
        <w:rPr>
          <w:rFonts w:ascii="Arial" w:hAnsi="Arial" w:cs="Arial"/>
          <w:bCs/>
          <w:color w:val="000000"/>
          <w:sz w:val="20"/>
          <w:szCs w:val="20"/>
        </w:rPr>
        <w:t>.</w:t>
      </w:r>
    </w:p>
    <w:p w:rsidR="00810FE8" w:rsidRDefault="00810FE8" w:rsidP="00810FE8">
      <w:pPr>
        <w:pStyle w:val="NormalWeb"/>
        <w:rPr>
          <w:rFonts w:ascii="Arial" w:hAnsi="Arial" w:cs="Arial"/>
          <w:b/>
          <w:bCs/>
          <w:color w:val="000000"/>
          <w:sz w:val="20"/>
          <w:szCs w:val="20"/>
        </w:rPr>
      </w:pPr>
      <w:r>
        <w:rPr>
          <w:rFonts w:ascii="Arial" w:hAnsi="Arial" w:cs="Arial"/>
          <w:b/>
          <w:bCs/>
          <w:color w:val="000000"/>
          <w:sz w:val="20"/>
          <w:szCs w:val="20"/>
        </w:rPr>
        <w:lastRenderedPageBreak/>
        <w:t>Review of SLR holdings in HTM category</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RBI/2022-23/150</w:t>
      </w:r>
      <w:r>
        <w:rPr>
          <w:rFonts w:ascii="Arial" w:hAnsi="Arial" w:cs="Arial"/>
          <w:color w:val="000000"/>
          <w:sz w:val="20"/>
          <w:szCs w:val="20"/>
        </w:rPr>
        <w:br/>
        <w:t>DOR.MRG.REC.89/21.04.141/2022-23</w:t>
      </w:r>
    </w:p>
    <w:p w:rsidR="00810FE8" w:rsidRDefault="00810FE8" w:rsidP="00810FE8">
      <w:pPr>
        <w:pStyle w:val="NormalWeb"/>
        <w:jc w:val="right"/>
        <w:rPr>
          <w:rFonts w:ascii="Arial" w:hAnsi="Arial" w:cs="Arial"/>
          <w:color w:val="000000"/>
          <w:sz w:val="20"/>
          <w:szCs w:val="20"/>
        </w:rPr>
      </w:pPr>
      <w:r>
        <w:rPr>
          <w:rFonts w:ascii="Arial" w:hAnsi="Arial" w:cs="Arial"/>
          <w:color w:val="000000"/>
          <w:sz w:val="20"/>
          <w:szCs w:val="20"/>
        </w:rPr>
        <w:t>December 8, 2022</w:t>
      </w:r>
    </w:p>
    <w:p w:rsidR="00810FE8" w:rsidRDefault="00810FE8" w:rsidP="00810FE8">
      <w:pPr>
        <w:pStyle w:val="head"/>
        <w:jc w:val="both"/>
        <w:rPr>
          <w:rFonts w:ascii="Arial" w:hAnsi="Arial" w:cs="Arial"/>
          <w:b/>
          <w:bCs/>
          <w:color w:val="000000"/>
          <w:sz w:val="20"/>
          <w:szCs w:val="20"/>
        </w:rPr>
      </w:pPr>
      <w:r>
        <w:rPr>
          <w:rFonts w:ascii="Arial" w:hAnsi="Arial" w:cs="Arial"/>
          <w:b/>
          <w:bCs/>
          <w:color w:val="000000"/>
          <w:sz w:val="20"/>
          <w:szCs w:val="20"/>
        </w:rPr>
        <w:t>Review of SLR holdings in HTM category</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Please refer to paragraph 1 of </w:t>
      </w:r>
      <w:hyperlink r:id="rId90" w:tgtFrame="_blank" w:history="1">
        <w:r>
          <w:rPr>
            <w:rStyle w:val="Hyperlink"/>
            <w:rFonts w:ascii="Arial" w:hAnsi="Arial" w:cs="Arial"/>
            <w:sz w:val="20"/>
            <w:szCs w:val="20"/>
          </w:rPr>
          <w:t>Statement on Development and Regulatory Policies</w:t>
        </w:r>
      </w:hyperlink>
      <w:r>
        <w:rPr>
          <w:rFonts w:ascii="Arial" w:hAnsi="Arial" w:cs="Arial"/>
          <w:color w:val="000000"/>
          <w:sz w:val="20"/>
          <w:szCs w:val="20"/>
        </w:rPr>
        <w:t> of the </w:t>
      </w:r>
      <w:hyperlink r:id="rId91" w:tgtFrame="_blank" w:history="1">
        <w:r>
          <w:rPr>
            <w:rStyle w:val="Hyperlink"/>
            <w:rFonts w:ascii="Arial" w:hAnsi="Arial" w:cs="Arial"/>
            <w:sz w:val="20"/>
            <w:szCs w:val="20"/>
          </w:rPr>
          <w:t>Monetary Policy Statement, 2022-23 dated December 7, 2022</w:t>
        </w:r>
      </w:hyperlink>
      <w:r>
        <w:rPr>
          <w:rFonts w:ascii="Arial" w:hAnsi="Arial" w:cs="Arial"/>
          <w:color w:val="000000"/>
          <w:sz w:val="20"/>
          <w:szCs w:val="20"/>
        </w:rPr>
        <w:t> and Section 6(iv)(a) of </w:t>
      </w:r>
      <w:hyperlink r:id="rId92" w:tgtFrame="_blank" w:history="1">
        <w:r>
          <w:rPr>
            <w:rStyle w:val="Hyperlink"/>
            <w:rFonts w:ascii="Arial" w:hAnsi="Arial" w:cs="Arial"/>
            <w:sz w:val="20"/>
            <w:szCs w:val="20"/>
          </w:rPr>
          <w:t>Master Direction - Classification, Valuation and Operation of Investment Portfolio of Commercial Banks (Directions), 2021 dated August 25, 2021</w:t>
        </w:r>
      </w:hyperlink>
      <w:r>
        <w:rPr>
          <w:rFonts w:ascii="Arial" w:hAnsi="Arial" w:cs="Arial"/>
          <w:color w:val="000000"/>
          <w:sz w:val="20"/>
          <w:szCs w:val="20"/>
        </w:rPr>
        <w:t>.</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2. At present, banks have been granted a special dispensation of enhanced Held to Maturity (HTM) limit of 23 per cent of Net Demand and Time Liabilities (NDTL), for Statutory Liquidity Ratio (SLR) eligible securities acquired between September 1, 2020 and March 31, 2023, until March 31, 2023.</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 xml:space="preserve">3. On a review, it has been decided to further extend the dispensation of enhanced HTM limit of 23 per cent of NDTL </w:t>
      </w:r>
      <w:proofErr w:type="spellStart"/>
      <w:r>
        <w:rPr>
          <w:rFonts w:ascii="Arial" w:hAnsi="Arial" w:cs="Arial"/>
          <w:color w:val="000000"/>
          <w:sz w:val="20"/>
          <w:szCs w:val="20"/>
        </w:rPr>
        <w:t>upto</w:t>
      </w:r>
      <w:proofErr w:type="spellEnd"/>
      <w:r>
        <w:rPr>
          <w:rFonts w:ascii="Arial" w:hAnsi="Arial" w:cs="Arial"/>
          <w:color w:val="000000"/>
          <w:sz w:val="20"/>
          <w:szCs w:val="20"/>
        </w:rPr>
        <w:t xml:space="preserve"> March 31, 2024 and allow banks to include securities acquired between September 1, 2020 and March 31, 2024 under the enhanced limit of 23 per cent.</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4. The enhanced HTM limit of 23 per cent shall be restored to 19.5 percent in a phased manner, beginning from the quarter ending June 30, 2024, i.e., the excess SLR securities acquired by banks during the period September 1, 2020 to March 31, 2024 shall be progressively reduced such that the total SLR securities held in the HTM category as a percentage of the NDTL do not exceed:</w:t>
      </w:r>
    </w:p>
    <w:p w:rsidR="00810FE8" w:rsidRDefault="00810FE8" w:rsidP="00810FE8">
      <w:pPr>
        <w:pStyle w:val="NormalWeb"/>
        <w:numPr>
          <w:ilvl w:val="0"/>
          <w:numId w:val="29"/>
        </w:numPr>
        <w:ind w:left="0"/>
        <w:jc w:val="both"/>
        <w:rPr>
          <w:rFonts w:ascii="Arial" w:hAnsi="Arial" w:cs="Arial"/>
          <w:color w:val="000000"/>
          <w:sz w:val="20"/>
          <w:szCs w:val="20"/>
        </w:rPr>
      </w:pPr>
      <w:r>
        <w:rPr>
          <w:rFonts w:ascii="Arial" w:hAnsi="Arial" w:cs="Arial"/>
          <w:color w:val="000000"/>
          <w:sz w:val="20"/>
          <w:szCs w:val="20"/>
        </w:rPr>
        <w:t>22.00 per cent as on June 30, 2024</w:t>
      </w:r>
    </w:p>
    <w:p w:rsidR="00810FE8" w:rsidRDefault="00810FE8" w:rsidP="00810FE8">
      <w:pPr>
        <w:pStyle w:val="NormalWeb"/>
        <w:numPr>
          <w:ilvl w:val="0"/>
          <w:numId w:val="29"/>
        </w:numPr>
        <w:ind w:left="0"/>
        <w:jc w:val="both"/>
        <w:rPr>
          <w:rFonts w:ascii="Arial" w:hAnsi="Arial" w:cs="Arial"/>
          <w:color w:val="000000"/>
          <w:sz w:val="20"/>
          <w:szCs w:val="20"/>
        </w:rPr>
      </w:pPr>
      <w:r>
        <w:rPr>
          <w:rFonts w:ascii="Arial" w:hAnsi="Arial" w:cs="Arial"/>
          <w:color w:val="000000"/>
          <w:sz w:val="20"/>
          <w:szCs w:val="20"/>
        </w:rPr>
        <w:t>21.00 per cent as on September 30, 2024</w:t>
      </w:r>
    </w:p>
    <w:p w:rsidR="00810FE8" w:rsidRDefault="00810FE8" w:rsidP="00810FE8">
      <w:pPr>
        <w:pStyle w:val="NormalWeb"/>
        <w:numPr>
          <w:ilvl w:val="0"/>
          <w:numId w:val="29"/>
        </w:numPr>
        <w:ind w:left="0"/>
        <w:jc w:val="both"/>
        <w:rPr>
          <w:rFonts w:ascii="Arial" w:hAnsi="Arial" w:cs="Arial"/>
          <w:color w:val="000000"/>
          <w:sz w:val="20"/>
          <w:szCs w:val="20"/>
        </w:rPr>
      </w:pPr>
      <w:r>
        <w:rPr>
          <w:rFonts w:ascii="Arial" w:hAnsi="Arial" w:cs="Arial"/>
          <w:color w:val="000000"/>
          <w:sz w:val="20"/>
          <w:szCs w:val="20"/>
        </w:rPr>
        <w:t>20.00 per cent as on December 31, 2024</w:t>
      </w:r>
    </w:p>
    <w:p w:rsidR="00810FE8" w:rsidRDefault="00810FE8" w:rsidP="00810FE8">
      <w:pPr>
        <w:pStyle w:val="NormalWeb"/>
        <w:numPr>
          <w:ilvl w:val="0"/>
          <w:numId w:val="29"/>
        </w:numPr>
        <w:ind w:left="0"/>
        <w:jc w:val="both"/>
        <w:rPr>
          <w:rFonts w:ascii="Arial" w:hAnsi="Arial" w:cs="Arial"/>
          <w:color w:val="000000"/>
          <w:sz w:val="20"/>
          <w:szCs w:val="20"/>
        </w:rPr>
      </w:pPr>
      <w:r>
        <w:rPr>
          <w:rFonts w:ascii="Arial" w:hAnsi="Arial" w:cs="Arial"/>
          <w:color w:val="000000"/>
          <w:sz w:val="20"/>
          <w:szCs w:val="20"/>
        </w:rPr>
        <w:t>19.50 per cent as on March 31, 2025</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All other instructions shall remain unchanged.</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5. The relevant sections of the Master Direction are being amended to reflect the aforementioned changes.</w:t>
      </w:r>
    </w:p>
    <w:p w:rsidR="00810FE8" w:rsidRDefault="00810FE8" w:rsidP="00810FE8">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6. This circular is applicable to all Commercial Banks.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7. These instructions shall come into force with immediate effect.</w:t>
      </w:r>
    </w:p>
    <w:p w:rsidR="00810FE8" w:rsidRDefault="00810FE8" w:rsidP="00810FE8">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810FE8" w:rsidRDefault="00810FE8" w:rsidP="00810FE8">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810FE8" w:rsidRDefault="00810FE8" w:rsidP="00810FE8">
      <w:pPr>
        <w:spacing w:after="0"/>
        <w:rPr>
          <w:rFonts w:ascii="Arial" w:hAnsi="Arial" w:cs="Arial"/>
          <w:sz w:val="20"/>
          <w:szCs w:val="20"/>
        </w:rPr>
      </w:pPr>
    </w:p>
    <w:p w:rsidR="00810FE8" w:rsidRDefault="00810FE8" w:rsidP="00810FE8">
      <w:pPr>
        <w:spacing w:after="0"/>
        <w:rPr>
          <w:rFonts w:ascii="Arial" w:hAnsi="Arial" w:cs="Arial"/>
          <w:sz w:val="20"/>
          <w:szCs w:val="20"/>
        </w:rPr>
      </w:pPr>
    </w:p>
    <w:p w:rsidR="00810FE8" w:rsidRDefault="00810FE8" w:rsidP="00810FE8">
      <w:pPr>
        <w:spacing w:after="0"/>
        <w:rPr>
          <w:rFonts w:ascii="Arial" w:hAnsi="Arial" w:cs="Arial"/>
          <w:sz w:val="20"/>
          <w:szCs w:val="20"/>
        </w:rPr>
      </w:pPr>
      <w:r w:rsidRPr="00435B25">
        <w:rPr>
          <w:rFonts w:ascii="Arial" w:hAnsi="Arial" w:cs="Arial"/>
          <w:sz w:val="20"/>
          <w:szCs w:val="20"/>
        </w:rPr>
        <w:t>More details can be referred to in the below link.</w:t>
      </w:r>
    </w:p>
    <w:p w:rsidR="00810FE8" w:rsidRDefault="00810FE8" w:rsidP="00810FE8">
      <w:pPr>
        <w:spacing w:line="259" w:lineRule="auto"/>
        <w:rPr>
          <w:rStyle w:val="Hyperlink"/>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93" w:anchor=":~:text=Review%20of%20SLR%20holdings%20in%20HTM%20category&amp;text=3.,4" w:history="1">
        <w:r w:rsidRPr="006865D6">
          <w:rPr>
            <w:rStyle w:val="Hyperlink"/>
            <w:rFonts w:ascii="Arial" w:hAnsi="Arial" w:cs="Arial"/>
            <w:sz w:val="20"/>
            <w:szCs w:val="20"/>
          </w:rPr>
          <w:t>https://www.rbi.org.in/scripts/FS_Notification.aspx?Id=12422&amp;fn=2&amp;Mode=0#:~:text=Review%20of%20SLR%20holdings%20in%20HTM%20category&amp;text=3.,4</w:t>
        </w:r>
      </w:hyperlink>
    </w:p>
    <w:p w:rsidR="00810FE8" w:rsidRDefault="00810FE8" w:rsidP="00810FE8">
      <w:pPr>
        <w:spacing w:line="259" w:lineRule="auto"/>
        <w:rPr>
          <w:rStyle w:val="Hyperlink"/>
          <w:rFonts w:ascii="Arial" w:hAnsi="Arial" w:cs="Arial"/>
          <w:sz w:val="20"/>
          <w:szCs w:val="20"/>
        </w:rPr>
      </w:pPr>
    </w:p>
    <w:p w:rsidR="00810FE8" w:rsidRDefault="00810FE8" w:rsidP="00810FE8">
      <w:pPr>
        <w:spacing w:after="0"/>
        <w:rPr>
          <w:rFonts w:ascii="Arial" w:hAnsi="Arial" w:cs="Arial"/>
          <w:b/>
          <w:bCs/>
          <w:color w:val="000000"/>
          <w:sz w:val="20"/>
          <w:szCs w:val="20"/>
        </w:rPr>
      </w:pPr>
      <w:r>
        <w:rPr>
          <w:rFonts w:ascii="Arial" w:hAnsi="Arial" w:cs="Arial"/>
          <w:b/>
          <w:bCs/>
          <w:color w:val="000000"/>
          <w:sz w:val="20"/>
          <w:szCs w:val="20"/>
        </w:rPr>
        <w:lastRenderedPageBreak/>
        <w:t>Data Format for Furnishing of Credit Information to Credit Information Companies and other Regulatory Measures</w:t>
      </w:r>
    </w:p>
    <w:p w:rsidR="00810FE8" w:rsidRDefault="00810FE8" w:rsidP="00810FE8">
      <w:pPr>
        <w:spacing w:after="0"/>
        <w:rPr>
          <w:rFonts w:ascii="Arial" w:hAnsi="Arial" w:cs="Arial"/>
          <w:b/>
          <w:bCs/>
          <w:color w:val="000000"/>
          <w:sz w:val="20"/>
          <w:szCs w:val="20"/>
        </w:rPr>
      </w:pP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RBI/2022-23/154</w:t>
      </w:r>
      <w:r>
        <w:rPr>
          <w:rFonts w:ascii="Arial" w:hAnsi="Arial" w:cs="Arial"/>
          <w:color w:val="000000"/>
          <w:sz w:val="20"/>
          <w:szCs w:val="20"/>
        </w:rPr>
        <w:br/>
        <w:t>DoR.FIN.REC.90/20.16.056/2022-23</w:t>
      </w:r>
    </w:p>
    <w:p w:rsidR="00810FE8" w:rsidRDefault="00810FE8" w:rsidP="00810FE8">
      <w:pPr>
        <w:pStyle w:val="NormalWeb"/>
        <w:jc w:val="right"/>
        <w:rPr>
          <w:rFonts w:ascii="Arial" w:hAnsi="Arial" w:cs="Arial"/>
          <w:color w:val="000000"/>
          <w:sz w:val="20"/>
          <w:szCs w:val="20"/>
        </w:rPr>
      </w:pPr>
      <w:r>
        <w:rPr>
          <w:rFonts w:ascii="Arial" w:hAnsi="Arial" w:cs="Arial"/>
          <w:color w:val="000000"/>
          <w:sz w:val="20"/>
          <w:szCs w:val="20"/>
        </w:rPr>
        <w:t>December 13, 2022</w:t>
      </w:r>
    </w:p>
    <w:p w:rsidR="00810FE8" w:rsidRDefault="00810FE8" w:rsidP="00810FE8">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w:t>
      </w:r>
      <w:r>
        <w:rPr>
          <w:rFonts w:ascii="Arial" w:hAnsi="Arial" w:cs="Arial"/>
          <w:color w:val="000000"/>
          <w:sz w:val="20"/>
          <w:szCs w:val="20"/>
        </w:rPr>
        <w:br/>
        <w:t>All Primary (Urban) Co-operative Banks/State Co-operative Banks/District Central Co-operative Banks</w:t>
      </w:r>
      <w:r>
        <w:rPr>
          <w:rFonts w:ascii="Arial" w:hAnsi="Arial" w:cs="Arial"/>
          <w:color w:val="000000"/>
          <w:sz w:val="20"/>
          <w:szCs w:val="20"/>
        </w:rPr>
        <w:br/>
        <w:t xml:space="preserve">All-India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All Credit Information Companies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Madam/Dear Sir,</w:t>
      </w:r>
    </w:p>
    <w:p w:rsidR="00810FE8" w:rsidRDefault="00810FE8" w:rsidP="00810FE8">
      <w:pPr>
        <w:pStyle w:val="head"/>
        <w:jc w:val="both"/>
        <w:rPr>
          <w:rFonts w:ascii="Arial" w:hAnsi="Arial" w:cs="Arial"/>
          <w:b/>
          <w:bCs/>
          <w:color w:val="000000"/>
          <w:sz w:val="20"/>
          <w:szCs w:val="20"/>
        </w:rPr>
      </w:pPr>
      <w:r>
        <w:rPr>
          <w:rFonts w:ascii="Arial" w:hAnsi="Arial" w:cs="Arial"/>
          <w:b/>
          <w:bCs/>
          <w:color w:val="000000"/>
          <w:sz w:val="20"/>
          <w:szCs w:val="20"/>
        </w:rPr>
        <w:t>Data Format for Furnishing of Credit Information to Credit Information Companies and other Regulatory Measures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94" w:tgtFrame="_blank" w:history="1">
        <w:r>
          <w:rPr>
            <w:rStyle w:val="Hyperlink"/>
            <w:rFonts w:ascii="Arial" w:hAnsi="Arial" w:cs="Arial"/>
            <w:sz w:val="20"/>
            <w:szCs w:val="20"/>
          </w:rPr>
          <w:t>circular DBOD.No.CID.BC.127/20.16.056/2013-14 dated June 27, 2014</w:t>
        </w:r>
      </w:hyperlink>
      <w:r>
        <w:rPr>
          <w:rFonts w:ascii="Arial" w:hAnsi="Arial" w:cs="Arial"/>
          <w:color w:val="000000"/>
          <w:sz w:val="20"/>
          <w:szCs w:val="20"/>
        </w:rPr>
        <w:t>, inter alia setting out a Uniform Credit Reporting Format for reporting credit information to the Credit Information Companies (CICs).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2. It is clarified that cases admitted with National Company Law Tribunal (NCLT)/National Company Law Appellate Tribunal (NCLAT) under the Insolvency and Bankruptcy Code, 2016 are also required to be reported under the suit-filed cases in reporting to the CICs.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3. Credit Institutions (CIs) shall ensure implementation of this circular latest by February 28, 2023.</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Yours faithfully</w:t>
      </w:r>
    </w:p>
    <w:p w:rsidR="00810FE8" w:rsidRDefault="00810FE8" w:rsidP="00810FE8">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810FE8" w:rsidRDefault="00810FE8" w:rsidP="00810FE8">
      <w:pPr>
        <w:spacing w:after="0"/>
        <w:rPr>
          <w:rFonts w:ascii="Arial" w:hAnsi="Arial" w:cs="Arial"/>
          <w:sz w:val="20"/>
          <w:szCs w:val="20"/>
        </w:rPr>
      </w:pPr>
    </w:p>
    <w:p w:rsidR="00810FE8" w:rsidRDefault="00810FE8" w:rsidP="00810FE8">
      <w:pPr>
        <w:spacing w:after="0"/>
        <w:rPr>
          <w:rFonts w:ascii="Arial" w:hAnsi="Arial" w:cs="Arial"/>
          <w:sz w:val="20"/>
          <w:szCs w:val="20"/>
        </w:rPr>
      </w:pPr>
    </w:p>
    <w:p w:rsidR="00810FE8" w:rsidRDefault="00810FE8" w:rsidP="00810FE8">
      <w:pPr>
        <w:spacing w:after="0"/>
        <w:rPr>
          <w:rFonts w:ascii="Arial" w:hAnsi="Arial" w:cs="Arial"/>
          <w:sz w:val="20"/>
          <w:szCs w:val="20"/>
        </w:rPr>
      </w:pPr>
    </w:p>
    <w:p w:rsidR="00810FE8" w:rsidRDefault="00810FE8" w:rsidP="00810FE8">
      <w:pPr>
        <w:spacing w:after="0"/>
        <w:rPr>
          <w:rFonts w:ascii="Arial" w:hAnsi="Arial" w:cs="Arial"/>
          <w:sz w:val="20"/>
          <w:szCs w:val="20"/>
        </w:rPr>
      </w:pPr>
      <w:r w:rsidRPr="00435B25">
        <w:rPr>
          <w:rFonts w:ascii="Arial" w:hAnsi="Arial" w:cs="Arial"/>
          <w:sz w:val="20"/>
          <w:szCs w:val="20"/>
        </w:rPr>
        <w:t>More details can be referred to in the below link.</w:t>
      </w:r>
    </w:p>
    <w:p w:rsidR="00810FE8" w:rsidRDefault="00810FE8" w:rsidP="00810FE8">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95" w:history="1">
        <w:r w:rsidRPr="006865D6">
          <w:rPr>
            <w:rStyle w:val="Hyperlink"/>
            <w:rFonts w:ascii="Arial" w:hAnsi="Arial" w:cs="Arial"/>
            <w:sz w:val="20"/>
            <w:szCs w:val="20"/>
          </w:rPr>
          <w:t>https://m.rbi.org.in/scripts/BS_CircularIndexDisplay.aspx?Id=12425</w:t>
        </w:r>
      </w:hyperlink>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after="0"/>
        <w:rPr>
          <w:rFonts w:ascii="Arial" w:hAnsi="Arial" w:cs="Arial"/>
          <w:b/>
          <w:bCs/>
          <w:color w:val="000000"/>
          <w:sz w:val="20"/>
          <w:szCs w:val="20"/>
        </w:rPr>
      </w:pPr>
      <w:r>
        <w:rPr>
          <w:rFonts w:ascii="Arial" w:hAnsi="Arial" w:cs="Arial"/>
          <w:b/>
          <w:bCs/>
          <w:color w:val="000000"/>
          <w:sz w:val="20"/>
          <w:szCs w:val="20"/>
        </w:rPr>
        <w:lastRenderedPageBreak/>
        <w:t>Reserve Bank of India (Financial Statements - Presentation and Disclosures) Directions, 2021 - Disclosure of material items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RBI/2022-23/155</w:t>
      </w:r>
      <w:r>
        <w:rPr>
          <w:rFonts w:ascii="Arial" w:hAnsi="Arial" w:cs="Arial"/>
          <w:color w:val="000000"/>
          <w:sz w:val="20"/>
          <w:szCs w:val="20"/>
        </w:rPr>
        <w:br/>
        <w:t>DOR.ACC.REC.No.91/21.04.018/2022-23</w:t>
      </w:r>
    </w:p>
    <w:p w:rsidR="00810FE8" w:rsidRDefault="00810FE8" w:rsidP="00810FE8">
      <w:pPr>
        <w:pStyle w:val="NormalWeb"/>
        <w:jc w:val="right"/>
        <w:rPr>
          <w:rFonts w:ascii="Arial" w:hAnsi="Arial" w:cs="Arial"/>
          <w:color w:val="000000"/>
          <w:sz w:val="20"/>
          <w:szCs w:val="20"/>
        </w:rPr>
      </w:pPr>
      <w:r>
        <w:rPr>
          <w:rFonts w:ascii="Arial" w:hAnsi="Arial" w:cs="Arial"/>
          <w:color w:val="000000"/>
          <w:sz w:val="20"/>
          <w:szCs w:val="20"/>
        </w:rPr>
        <w:t>December 13, 2022</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Madam/Sir,</w:t>
      </w:r>
    </w:p>
    <w:p w:rsidR="00810FE8" w:rsidRDefault="00810FE8" w:rsidP="00810FE8">
      <w:pPr>
        <w:pStyle w:val="head"/>
        <w:jc w:val="both"/>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 of material items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Please refer to the notes and instructions for compilation of Balance Sheet and Profit and Loss Account, for commercial banks, as specified in Annexure II to the </w:t>
      </w:r>
      <w:hyperlink r:id="rId96" w:tgtFrame="_blank" w:history="1">
        <w:r>
          <w:rPr>
            <w:rStyle w:val="Hyperlink"/>
            <w:rFonts w:ascii="Arial" w:hAnsi="Arial" w:cs="Arial"/>
            <w:sz w:val="20"/>
            <w:szCs w:val="20"/>
          </w:rPr>
          <w:t>Reserve Bank of India (Financial Statements-Presentation and Disclosures) Directions, 2021</w:t>
        </w:r>
      </w:hyperlink>
      <w:r>
        <w:rPr>
          <w:rFonts w:ascii="Arial" w:hAnsi="Arial" w:cs="Arial"/>
          <w:color w:val="000000"/>
          <w:sz w:val="20"/>
          <w:szCs w:val="20"/>
        </w:rPr>
        <w:t> (hereinafter referred to as “Directions”).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2. In terms of Part A of Annexure II to the Directions, in case any item under the subhead “Miscellaneous Income” under the head “Schedule 14-Other Income” exceeds one per cent of total income, particulars shall be given in the notes to accounts. Similar instructions exist in case of subhead “Other expenditure” under the head “Schedule 16-Operating Expenses”.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3. In order to ensure greater transparency, it has been decided that banks shall also disclose the particulars of all such items in the notes to accounts wherever any item under the Schedule 5(IV)-Other Liabilities and Provisions</w:t>
      </w:r>
      <w:proofErr w:type="gramStart"/>
      <w:r>
        <w:rPr>
          <w:rFonts w:ascii="Arial" w:hAnsi="Arial" w:cs="Arial"/>
          <w:color w:val="000000"/>
          <w:sz w:val="20"/>
          <w:szCs w:val="20"/>
        </w:rPr>
        <w:t>-“</w:t>
      </w:r>
      <w:proofErr w:type="gramEnd"/>
      <w:r>
        <w:rPr>
          <w:rFonts w:ascii="Arial" w:hAnsi="Arial" w:cs="Arial"/>
          <w:color w:val="000000"/>
          <w:sz w:val="20"/>
          <w:szCs w:val="20"/>
        </w:rPr>
        <w:t>Others (including provisions)” or Schedule 11(VI)-Other Assets-“Others” exceeds one per cent of the total assets.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4. Further, Payments Banks shall also disclose particulars of all such items in the notes to accounts, wherever any item under the Schedule 14(I)-Other Income</w:t>
      </w:r>
      <w:proofErr w:type="gramStart"/>
      <w:r>
        <w:rPr>
          <w:rFonts w:ascii="Arial" w:hAnsi="Arial" w:cs="Arial"/>
          <w:color w:val="000000"/>
          <w:sz w:val="20"/>
          <w:szCs w:val="20"/>
        </w:rPr>
        <w:t>-“</w:t>
      </w:r>
      <w:proofErr w:type="gramEnd"/>
      <w:r>
        <w:rPr>
          <w:rFonts w:ascii="Arial" w:hAnsi="Arial" w:cs="Arial"/>
          <w:color w:val="000000"/>
          <w:sz w:val="20"/>
          <w:szCs w:val="20"/>
        </w:rPr>
        <w:t>Commission, Exchange and Brokerage” exceeds one per cent of the total income.</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5. We also invite attention to Clause 6 of the Chapter IV of the Directions ibid, in terms of which more comprehensive disclosures than the minimum required are encouraged, especially if such disclosures significantly aid in the understanding of the financial position and performance of banks.</w:t>
      </w:r>
    </w:p>
    <w:p w:rsidR="00810FE8" w:rsidRDefault="00810FE8" w:rsidP="00810FE8">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6. These instructions are applicable to all commercial banks. These instructions shall come into effect for disclosures in the notes to the annual financial statements for the year ending March 31, 2023 and onwards.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7. The </w:t>
      </w:r>
      <w:hyperlink r:id="rId97" w:tgtFrame="_blank" w:history="1">
        <w:r>
          <w:rPr>
            <w:rStyle w:val="Hyperlink"/>
            <w:rFonts w:ascii="Arial" w:hAnsi="Arial" w:cs="Arial"/>
            <w:sz w:val="20"/>
            <w:szCs w:val="20"/>
          </w:rPr>
          <w:t>Reserve Bank of India (Financial Statements - Presentation and Disclosures) Directions, 2021</w:t>
        </w:r>
      </w:hyperlink>
      <w:r>
        <w:rPr>
          <w:rFonts w:ascii="Arial" w:hAnsi="Arial" w:cs="Arial"/>
          <w:color w:val="000000"/>
          <w:sz w:val="20"/>
          <w:szCs w:val="20"/>
        </w:rPr>
        <w:t> shall stand updated to reflect these changes.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Yours faithfully,</w:t>
      </w:r>
    </w:p>
    <w:p w:rsidR="00810FE8" w:rsidRDefault="00810FE8" w:rsidP="00810FE8">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810FE8" w:rsidRPr="00230EAC" w:rsidRDefault="00810FE8" w:rsidP="00810FE8">
      <w:pPr>
        <w:spacing w:after="0"/>
      </w:pPr>
    </w:p>
    <w:p w:rsidR="00810FE8" w:rsidRDefault="00810FE8" w:rsidP="00810FE8">
      <w:r>
        <w:t>More details can be referred to in the below link.</w:t>
      </w:r>
    </w:p>
    <w:p w:rsidR="00810FE8" w:rsidRDefault="00810FE8" w:rsidP="00810FE8">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98" w:history="1">
        <w:r w:rsidRPr="00B27270">
          <w:rPr>
            <w:rStyle w:val="Hyperlink"/>
            <w:rFonts w:ascii="Arial" w:hAnsi="Arial" w:cs="Arial"/>
            <w:bCs/>
            <w:sz w:val="20"/>
            <w:szCs w:val="20"/>
          </w:rPr>
          <w:t>https://rbi.org.in/Scripts/NotificationUser.aspx?Id=12426&amp;Mode=0</w:t>
        </w:r>
      </w:hyperlink>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b/>
          <w:bCs/>
          <w:color w:val="000000"/>
          <w:sz w:val="20"/>
          <w:szCs w:val="20"/>
        </w:rPr>
      </w:pPr>
      <w:r>
        <w:rPr>
          <w:rFonts w:ascii="Arial" w:hAnsi="Arial" w:cs="Arial"/>
          <w:b/>
          <w:bCs/>
          <w:color w:val="000000"/>
          <w:sz w:val="20"/>
          <w:szCs w:val="20"/>
        </w:rPr>
        <w:lastRenderedPageBreak/>
        <w:t>Central Payments Fraud Information Registry – Migration of Reporting to DAKSH</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RBI/2022-23/158</w:t>
      </w:r>
      <w:r>
        <w:rPr>
          <w:rFonts w:ascii="Arial" w:hAnsi="Arial" w:cs="Arial"/>
          <w:color w:val="000000"/>
          <w:sz w:val="20"/>
          <w:szCs w:val="20"/>
        </w:rPr>
        <w:br/>
        <w:t>CO.DPSS.OVRST.No.S1619/06-08-005/2022-2023</w:t>
      </w:r>
    </w:p>
    <w:p w:rsidR="00810FE8" w:rsidRDefault="00810FE8" w:rsidP="00810FE8">
      <w:pPr>
        <w:pStyle w:val="NormalWeb"/>
        <w:jc w:val="right"/>
        <w:rPr>
          <w:rFonts w:ascii="Arial" w:hAnsi="Arial" w:cs="Arial"/>
          <w:color w:val="000000"/>
          <w:sz w:val="20"/>
          <w:szCs w:val="20"/>
        </w:rPr>
      </w:pPr>
      <w:r>
        <w:rPr>
          <w:rFonts w:ascii="Arial" w:hAnsi="Arial" w:cs="Arial"/>
          <w:color w:val="000000"/>
          <w:sz w:val="20"/>
          <w:szCs w:val="20"/>
        </w:rPr>
        <w:t>December 26, 2022</w:t>
      </w:r>
    </w:p>
    <w:p w:rsidR="00810FE8" w:rsidRDefault="00810FE8" w:rsidP="00810FE8">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Banks, Non-bank Payment System Operators (PSOs) and</w:t>
      </w:r>
      <w:r>
        <w:rPr>
          <w:rFonts w:ascii="Arial" w:hAnsi="Arial" w:cs="Arial"/>
          <w:color w:val="000000"/>
          <w:sz w:val="20"/>
          <w:szCs w:val="20"/>
        </w:rPr>
        <w:br/>
        <w:t>Credit Card issuing Non-Banking Financial Companies (NBFCs)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Madam / Dear Sir,</w:t>
      </w:r>
    </w:p>
    <w:p w:rsidR="00810FE8" w:rsidRDefault="00810FE8" w:rsidP="00810FE8">
      <w:pPr>
        <w:pStyle w:val="head"/>
        <w:jc w:val="both"/>
        <w:rPr>
          <w:rFonts w:ascii="Arial" w:hAnsi="Arial" w:cs="Arial"/>
          <w:b/>
          <w:bCs/>
          <w:color w:val="000000"/>
          <w:sz w:val="20"/>
          <w:szCs w:val="20"/>
        </w:rPr>
      </w:pPr>
      <w:r>
        <w:rPr>
          <w:rFonts w:ascii="Arial" w:hAnsi="Arial" w:cs="Arial"/>
          <w:b/>
          <w:bCs/>
          <w:color w:val="000000"/>
          <w:sz w:val="20"/>
          <w:szCs w:val="20"/>
        </w:rPr>
        <w:t>Central Payments Fraud Information Registry – Migration of Reporting to DAKSH</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As announced in the </w:t>
      </w:r>
      <w:hyperlink r:id="rId99" w:tgtFrame="_blank" w:history="1">
        <w:r>
          <w:rPr>
            <w:rStyle w:val="Hyperlink"/>
            <w:rFonts w:ascii="Arial" w:hAnsi="Arial" w:cs="Arial"/>
            <w:sz w:val="20"/>
            <w:szCs w:val="20"/>
          </w:rPr>
          <w:t>Monetary Policy Statement 2019-20 on August 07, 2019</w:t>
        </w:r>
      </w:hyperlink>
      <w:r>
        <w:rPr>
          <w:rFonts w:ascii="Arial" w:hAnsi="Arial" w:cs="Arial"/>
          <w:color w:val="000000"/>
          <w:sz w:val="20"/>
          <w:szCs w:val="20"/>
        </w:rPr>
        <w:t>, the Reserve Bank of India (RBI) had operationalised the Central Payments Fraud Information Registry (CPFIR) in March 2020 with reporting of payment frauds by scheduled commercial banks and non-bank Prepaid Payment Instrument (PPI) issuers.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2. To streamline reporting, enhance efficiency and automate the payments fraud management process, the fraud reporting module is being migrated to </w:t>
      </w:r>
      <w:hyperlink r:id="rId100" w:anchor="/login" w:tgtFrame="_blank" w:history="1">
        <w:r>
          <w:rPr>
            <w:rStyle w:val="Hyperlink"/>
            <w:rFonts w:ascii="Arial" w:hAnsi="Arial" w:cs="Arial"/>
            <w:sz w:val="20"/>
            <w:szCs w:val="20"/>
          </w:rPr>
          <w:t>DAKSH – Reserve Bank’s Advanced Supervisory Monitoring System</w:t>
        </w:r>
      </w:hyperlink>
      <w:r>
        <w:rPr>
          <w:rFonts w:ascii="Arial" w:hAnsi="Arial" w:cs="Arial"/>
          <w:color w:val="000000"/>
          <w:sz w:val="20"/>
          <w:szCs w:val="20"/>
        </w:rPr>
        <w:t>. The migration will be effective from </w:t>
      </w:r>
      <w:r>
        <w:rPr>
          <w:rStyle w:val="head1"/>
          <w:rFonts w:ascii="Arial" w:hAnsi="Arial" w:cs="Arial"/>
          <w:b/>
          <w:bCs/>
          <w:color w:val="000000"/>
          <w:sz w:val="20"/>
          <w:szCs w:val="20"/>
        </w:rPr>
        <w:t>January 01, 2023</w:t>
      </w:r>
      <w:r>
        <w:rPr>
          <w:rFonts w:ascii="Arial" w:hAnsi="Arial" w:cs="Arial"/>
          <w:color w:val="000000"/>
          <w:sz w:val="20"/>
          <w:szCs w:val="20"/>
        </w:rPr>
        <w:t>, i.e., entities shall commence reporting of payment frauds in DAKSH from this date. In addition to the existing bulk upload facility to report payment frauds, DAKSH provides additional functionalities, viz. maker-checker facility, online screen-based reporting, option for requesting additional information, facility to issue alerts / advisories, generation of dashboards and reports, etc. The reporting guidelines are mentioned in the </w:t>
      </w:r>
      <w:hyperlink r:id="rId101" w:anchor="AN1" w:history="1">
        <w:r>
          <w:rPr>
            <w:rStyle w:val="Hyperlink"/>
            <w:rFonts w:ascii="Arial" w:hAnsi="Arial" w:cs="Arial"/>
            <w:sz w:val="20"/>
            <w:szCs w:val="20"/>
          </w:rPr>
          <w:t>Annex</w:t>
        </w:r>
      </w:hyperlink>
      <w:r>
        <w:rPr>
          <w:rFonts w:ascii="Arial" w:hAnsi="Arial" w:cs="Arial"/>
          <w:color w:val="000000"/>
          <w:sz w:val="20"/>
          <w:szCs w:val="20"/>
        </w:rPr>
        <w:t>.</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3. These directions are issued under Section 10 (2) read with Section 18 of Payment and settlement Systems Act, 2007 (Act 51 of 2007).</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Yours faithfully,</w:t>
      </w:r>
    </w:p>
    <w:p w:rsidR="00810FE8" w:rsidRDefault="00810FE8" w:rsidP="00810FE8">
      <w:pPr>
        <w:pStyle w:val="NormalWeb"/>
        <w:rPr>
          <w:rFonts w:ascii="Arial" w:hAnsi="Arial" w:cs="Arial"/>
          <w:color w:val="000000"/>
          <w:sz w:val="20"/>
          <w:szCs w:val="20"/>
        </w:rPr>
      </w:pPr>
      <w:r>
        <w:rPr>
          <w:rFonts w:ascii="Arial" w:hAnsi="Arial" w:cs="Arial"/>
          <w:color w:val="000000"/>
          <w:sz w:val="20"/>
          <w:szCs w:val="20"/>
        </w:rPr>
        <w:t xml:space="preserve">(P. </w:t>
      </w:r>
      <w:proofErr w:type="spellStart"/>
      <w:r>
        <w:rPr>
          <w:rFonts w:ascii="Arial" w:hAnsi="Arial" w:cs="Arial"/>
          <w:color w:val="000000"/>
          <w:sz w:val="20"/>
          <w:szCs w:val="20"/>
        </w:rPr>
        <w:t>Vasudevan</w:t>
      </w:r>
      <w:proofErr w:type="spellEnd"/>
      <w:r>
        <w:rPr>
          <w:rFonts w:ascii="Arial" w:hAnsi="Arial" w:cs="Arial"/>
          <w:color w:val="000000"/>
          <w:sz w:val="20"/>
          <w:szCs w:val="20"/>
        </w:rPr>
        <w:t>)</w:t>
      </w:r>
      <w:r>
        <w:rPr>
          <w:rFonts w:ascii="Arial" w:hAnsi="Arial" w:cs="Arial"/>
          <w:color w:val="000000"/>
          <w:sz w:val="20"/>
          <w:szCs w:val="20"/>
        </w:rPr>
        <w:br/>
        <w:t>Chief General Manager</w:t>
      </w: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r>
        <w:t>More details can be referred to in the below link.</w:t>
      </w:r>
    </w:p>
    <w:p w:rsidR="00810FE8" w:rsidRDefault="00810FE8" w:rsidP="00810FE8">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102" w:history="1">
        <w:r w:rsidRPr="00B27270">
          <w:rPr>
            <w:rStyle w:val="Hyperlink"/>
            <w:rFonts w:ascii="Arial" w:hAnsi="Arial" w:cs="Arial"/>
            <w:bCs/>
            <w:sz w:val="20"/>
            <w:szCs w:val="20"/>
          </w:rPr>
          <w:t>https://m.rbi.org.in/scripts/FS_Notification.aspx?Id=12431&amp;fn=9&amp;Mode=0</w:t>
        </w:r>
      </w:hyperlink>
    </w:p>
    <w:p w:rsidR="00810FE8" w:rsidRDefault="00810FE8" w:rsidP="00810FE8">
      <w:pPr>
        <w:spacing w:line="259" w:lineRule="auto"/>
        <w:rPr>
          <w:rFonts w:ascii="Arial" w:hAnsi="Arial" w:cs="Arial"/>
          <w:sz w:val="20"/>
          <w:szCs w:val="20"/>
        </w:rPr>
      </w:pPr>
    </w:p>
    <w:sectPr w:rsidR="00810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AB1"/>
    <w:multiLevelType w:val="multilevel"/>
    <w:tmpl w:val="3684EE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15C588F"/>
    <w:multiLevelType w:val="multilevel"/>
    <w:tmpl w:val="4B72A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8E025F9"/>
    <w:multiLevelType w:val="multilevel"/>
    <w:tmpl w:val="E3108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EE1848"/>
    <w:multiLevelType w:val="multilevel"/>
    <w:tmpl w:val="7EFE66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FC2351A"/>
    <w:multiLevelType w:val="multilevel"/>
    <w:tmpl w:val="D39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91410"/>
    <w:multiLevelType w:val="multilevel"/>
    <w:tmpl w:val="C6E8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BF0048"/>
    <w:multiLevelType w:val="multilevel"/>
    <w:tmpl w:val="D9B0B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B1550F"/>
    <w:multiLevelType w:val="multilevel"/>
    <w:tmpl w:val="AECA1D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C1460AC"/>
    <w:multiLevelType w:val="multilevel"/>
    <w:tmpl w:val="F77ABC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3167B8"/>
    <w:multiLevelType w:val="multilevel"/>
    <w:tmpl w:val="96AC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EDC1B6B"/>
    <w:multiLevelType w:val="multilevel"/>
    <w:tmpl w:val="421C9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0824147"/>
    <w:multiLevelType w:val="multilevel"/>
    <w:tmpl w:val="EFB0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090732"/>
    <w:multiLevelType w:val="multilevel"/>
    <w:tmpl w:val="5AA4B4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B826247"/>
    <w:multiLevelType w:val="multilevel"/>
    <w:tmpl w:val="12EA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1925B4C"/>
    <w:multiLevelType w:val="multilevel"/>
    <w:tmpl w:val="9E0CA3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34A636F"/>
    <w:multiLevelType w:val="multilevel"/>
    <w:tmpl w:val="AAA05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57D4582"/>
    <w:multiLevelType w:val="multilevel"/>
    <w:tmpl w:val="9400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2A33A4"/>
    <w:multiLevelType w:val="multilevel"/>
    <w:tmpl w:val="BBD456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D1C0D25"/>
    <w:multiLevelType w:val="multilevel"/>
    <w:tmpl w:val="E26E2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3F2418FB"/>
    <w:multiLevelType w:val="multilevel"/>
    <w:tmpl w:val="0C0A2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33C2382"/>
    <w:multiLevelType w:val="multilevel"/>
    <w:tmpl w:val="E708D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05E7C06"/>
    <w:multiLevelType w:val="multilevel"/>
    <w:tmpl w:val="8592D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1EE5FA6"/>
    <w:multiLevelType w:val="multilevel"/>
    <w:tmpl w:val="36EEA8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59AC63D0"/>
    <w:multiLevelType w:val="hybridMultilevel"/>
    <w:tmpl w:val="01961D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5A00010F"/>
    <w:multiLevelType w:val="multilevel"/>
    <w:tmpl w:val="A72CC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28" w15:restartNumberingAfterBreak="0">
    <w:nsid w:val="5D333C26"/>
    <w:multiLevelType w:val="multilevel"/>
    <w:tmpl w:val="9CA4C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64E15E3A"/>
    <w:multiLevelType w:val="multilevel"/>
    <w:tmpl w:val="495A5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6A6B539B"/>
    <w:multiLevelType w:val="multilevel"/>
    <w:tmpl w:val="53BE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B077D3E"/>
    <w:multiLevelType w:val="multilevel"/>
    <w:tmpl w:val="18D60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7"/>
  </w:num>
  <w:num w:numId="7">
    <w:abstractNumId w:val="22"/>
  </w:num>
  <w:num w:numId="8">
    <w:abstractNumId w:val="2"/>
  </w:num>
  <w:num w:numId="9">
    <w:abstractNumId w:val="1"/>
  </w:num>
  <w:num w:numId="10">
    <w:abstractNumId w:val="16"/>
  </w:num>
  <w:num w:numId="11">
    <w:abstractNumId w:val="14"/>
  </w:num>
  <w:num w:numId="12">
    <w:abstractNumId w:val="3"/>
  </w:num>
  <w:num w:numId="13">
    <w:abstractNumId w:val="13"/>
  </w:num>
  <w:num w:numId="14">
    <w:abstractNumId w:val="21"/>
  </w:num>
  <w:num w:numId="15">
    <w:abstractNumId w:val="29"/>
  </w:num>
  <w:num w:numId="16">
    <w:abstractNumId w:val="5"/>
  </w:num>
  <w:num w:numId="17">
    <w:abstractNumId w:val="18"/>
  </w:num>
  <w:num w:numId="18">
    <w:abstractNumId w:val="12"/>
  </w:num>
  <w:num w:numId="19">
    <w:abstractNumId w:val="11"/>
  </w:num>
  <w:num w:numId="20">
    <w:abstractNumId w:val="17"/>
  </w:num>
  <w:num w:numId="21">
    <w:abstractNumId w:val="10"/>
  </w:num>
  <w:num w:numId="22">
    <w:abstractNumId w:val="26"/>
  </w:num>
  <w:num w:numId="23">
    <w:abstractNumId w:val="8"/>
  </w:num>
  <w:num w:numId="24">
    <w:abstractNumId w:val="15"/>
  </w:num>
  <w:num w:numId="25">
    <w:abstractNumId w:val="7"/>
  </w:num>
  <w:num w:numId="26">
    <w:abstractNumId w:val="23"/>
  </w:num>
  <w:num w:numId="27">
    <w:abstractNumId w:val="6"/>
  </w:num>
  <w:num w:numId="28">
    <w:abstractNumId w:val="20"/>
  </w:num>
  <w:num w:numId="29">
    <w:abstractNumId w:val="9"/>
  </w:num>
  <w:num w:numId="30">
    <w:abstractNumId w:val="0"/>
  </w:num>
  <w:num w:numId="31">
    <w:abstractNumId w:val="32"/>
  </w:num>
  <w:num w:numId="32">
    <w:abstractNumId w:val="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D"/>
    <w:rsid w:val="00006E6D"/>
    <w:rsid w:val="0001134A"/>
    <w:rsid w:val="00047CD5"/>
    <w:rsid w:val="00066AD4"/>
    <w:rsid w:val="00083374"/>
    <w:rsid w:val="000F6CB6"/>
    <w:rsid w:val="00121B22"/>
    <w:rsid w:val="00147837"/>
    <w:rsid w:val="00166E3C"/>
    <w:rsid w:val="001B0D06"/>
    <w:rsid w:val="001E7AD4"/>
    <w:rsid w:val="001F219E"/>
    <w:rsid w:val="002313C4"/>
    <w:rsid w:val="00245B30"/>
    <w:rsid w:val="002A3764"/>
    <w:rsid w:val="002C55B6"/>
    <w:rsid w:val="002D338D"/>
    <w:rsid w:val="00355D74"/>
    <w:rsid w:val="00435B25"/>
    <w:rsid w:val="00436D36"/>
    <w:rsid w:val="0045114B"/>
    <w:rsid w:val="004D6B44"/>
    <w:rsid w:val="004E718A"/>
    <w:rsid w:val="00581BDE"/>
    <w:rsid w:val="00583041"/>
    <w:rsid w:val="005A38FC"/>
    <w:rsid w:val="005D5DB2"/>
    <w:rsid w:val="00645D84"/>
    <w:rsid w:val="0068363E"/>
    <w:rsid w:val="006C5648"/>
    <w:rsid w:val="00706A14"/>
    <w:rsid w:val="00744532"/>
    <w:rsid w:val="00810FE8"/>
    <w:rsid w:val="008462A3"/>
    <w:rsid w:val="0085415B"/>
    <w:rsid w:val="00912551"/>
    <w:rsid w:val="009126BF"/>
    <w:rsid w:val="009A3EA3"/>
    <w:rsid w:val="009B54D0"/>
    <w:rsid w:val="009F305B"/>
    <w:rsid w:val="00A32EAB"/>
    <w:rsid w:val="00A410BB"/>
    <w:rsid w:val="00A76041"/>
    <w:rsid w:val="00B1420D"/>
    <w:rsid w:val="00B46998"/>
    <w:rsid w:val="00B71788"/>
    <w:rsid w:val="00BF2165"/>
    <w:rsid w:val="00C10ACA"/>
    <w:rsid w:val="00C754F7"/>
    <w:rsid w:val="00C8671B"/>
    <w:rsid w:val="00C93B49"/>
    <w:rsid w:val="00CE14AF"/>
    <w:rsid w:val="00CF0868"/>
    <w:rsid w:val="00CF340B"/>
    <w:rsid w:val="00D46302"/>
    <w:rsid w:val="00D46755"/>
    <w:rsid w:val="00DB76CD"/>
    <w:rsid w:val="00DE227F"/>
    <w:rsid w:val="00DE6119"/>
    <w:rsid w:val="00E0459A"/>
    <w:rsid w:val="00EC5CE1"/>
    <w:rsid w:val="00EC7DEE"/>
    <w:rsid w:val="00F606CE"/>
    <w:rsid w:val="00FB49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CCFB"/>
  <w15:chartTrackingRefBased/>
  <w15:docId w15:val="{237EF2D5-A44F-4913-B195-C42A7C6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65"/>
    <w:rPr>
      <w:color w:val="0000FF"/>
      <w:u w:val="single"/>
    </w:rPr>
  </w:style>
  <w:style w:type="paragraph" w:styleId="NormalWeb">
    <w:name w:val="Normal (Web)"/>
    <w:basedOn w:val="Normal"/>
    <w:uiPriority w:val="99"/>
    <w:unhideWhenUsed/>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F2165"/>
    <w:pPr>
      <w:ind w:left="720"/>
      <w:contextualSpacing/>
    </w:pPr>
  </w:style>
  <w:style w:type="paragraph" w:customStyle="1" w:styleId="head">
    <w:name w:val="head"/>
    <w:basedOn w:val="Normal"/>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2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E7AD4"/>
  </w:style>
  <w:style w:type="paragraph" w:styleId="NoSpacing">
    <w:name w:val="No Spacing"/>
    <w:uiPriority w:val="1"/>
    <w:qFormat/>
    <w:rsid w:val="000F6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898">
      <w:bodyDiv w:val="1"/>
      <w:marLeft w:val="0"/>
      <w:marRight w:val="0"/>
      <w:marTop w:val="0"/>
      <w:marBottom w:val="0"/>
      <w:divBdr>
        <w:top w:val="none" w:sz="0" w:space="0" w:color="auto"/>
        <w:left w:val="none" w:sz="0" w:space="0" w:color="auto"/>
        <w:bottom w:val="none" w:sz="0" w:space="0" w:color="auto"/>
        <w:right w:val="none" w:sz="0" w:space="0" w:color="auto"/>
      </w:divBdr>
    </w:div>
    <w:div w:id="139806540">
      <w:bodyDiv w:val="1"/>
      <w:marLeft w:val="0"/>
      <w:marRight w:val="0"/>
      <w:marTop w:val="0"/>
      <w:marBottom w:val="0"/>
      <w:divBdr>
        <w:top w:val="none" w:sz="0" w:space="0" w:color="auto"/>
        <w:left w:val="none" w:sz="0" w:space="0" w:color="auto"/>
        <w:bottom w:val="none" w:sz="0" w:space="0" w:color="auto"/>
        <w:right w:val="none" w:sz="0" w:space="0" w:color="auto"/>
      </w:divBdr>
    </w:div>
    <w:div w:id="159540153">
      <w:bodyDiv w:val="1"/>
      <w:marLeft w:val="0"/>
      <w:marRight w:val="0"/>
      <w:marTop w:val="0"/>
      <w:marBottom w:val="0"/>
      <w:divBdr>
        <w:top w:val="none" w:sz="0" w:space="0" w:color="auto"/>
        <w:left w:val="none" w:sz="0" w:space="0" w:color="auto"/>
        <w:bottom w:val="none" w:sz="0" w:space="0" w:color="auto"/>
        <w:right w:val="none" w:sz="0" w:space="0" w:color="auto"/>
      </w:divBdr>
    </w:div>
    <w:div w:id="159807978">
      <w:bodyDiv w:val="1"/>
      <w:marLeft w:val="0"/>
      <w:marRight w:val="0"/>
      <w:marTop w:val="0"/>
      <w:marBottom w:val="0"/>
      <w:divBdr>
        <w:top w:val="none" w:sz="0" w:space="0" w:color="auto"/>
        <w:left w:val="none" w:sz="0" w:space="0" w:color="auto"/>
        <w:bottom w:val="none" w:sz="0" w:space="0" w:color="auto"/>
        <w:right w:val="none" w:sz="0" w:space="0" w:color="auto"/>
      </w:divBdr>
    </w:div>
    <w:div w:id="164829666">
      <w:bodyDiv w:val="1"/>
      <w:marLeft w:val="0"/>
      <w:marRight w:val="0"/>
      <w:marTop w:val="0"/>
      <w:marBottom w:val="0"/>
      <w:divBdr>
        <w:top w:val="none" w:sz="0" w:space="0" w:color="auto"/>
        <w:left w:val="none" w:sz="0" w:space="0" w:color="auto"/>
        <w:bottom w:val="none" w:sz="0" w:space="0" w:color="auto"/>
        <w:right w:val="none" w:sz="0" w:space="0" w:color="auto"/>
      </w:divBdr>
    </w:div>
    <w:div w:id="174344021">
      <w:bodyDiv w:val="1"/>
      <w:marLeft w:val="0"/>
      <w:marRight w:val="0"/>
      <w:marTop w:val="0"/>
      <w:marBottom w:val="0"/>
      <w:divBdr>
        <w:top w:val="none" w:sz="0" w:space="0" w:color="auto"/>
        <w:left w:val="none" w:sz="0" w:space="0" w:color="auto"/>
        <w:bottom w:val="none" w:sz="0" w:space="0" w:color="auto"/>
        <w:right w:val="none" w:sz="0" w:space="0" w:color="auto"/>
      </w:divBdr>
    </w:div>
    <w:div w:id="174346286">
      <w:bodyDiv w:val="1"/>
      <w:marLeft w:val="0"/>
      <w:marRight w:val="0"/>
      <w:marTop w:val="0"/>
      <w:marBottom w:val="0"/>
      <w:divBdr>
        <w:top w:val="none" w:sz="0" w:space="0" w:color="auto"/>
        <w:left w:val="none" w:sz="0" w:space="0" w:color="auto"/>
        <w:bottom w:val="none" w:sz="0" w:space="0" w:color="auto"/>
        <w:right w:val="none" w:sz="0" w:space="0" w:color="auto"/>
      </w:divBdr>
    </w:div>
    <w:div w:id="175459043">
      <w:bodyDiv w:val="1"/>
      <w:marLeft w:val="0"/>
      <w:marRight w:val="0"/>
      <w:marTop w:val="0"/>
      <w:marBottom w:val="0"/>
      <w:divBdr>
        <w:top w:val="none" w:sz="0" w:space="0" w:color="auto"/>
        <w:left w:val="none" w:sz="0" w:space="0" w:color="auto"/>
        <w:bottom w:val="none" w:sz="0" w:space="0" w:color="auto"/>
        <w:right w:val="none" w:sz="0" w:space="0" w:color="auto"/>
      </w:divBdr>
    </w:div>
    <w:div w:id="194656570">
      <w:bodyDiv w:val="1"/>
      <w:marLeft w:val="0"/>
      <w:marRight w:val="0"/>
      <w:marTop w:val="0"/>
      <w:marBottom w:val="0"/>
      <w:divBdr>
        <w:top w:val="none" w:sz="0" w:space="0" w:color="auto"/>
        <w:left w:val="none" w:sz="0" w:space="0" w:color="auto"/>
        <w:bottom w:val="none" w:sz="0" w:space="0" w:color="auto"/>
        <w:right w:val="none" w:sz="0" w:space="0" w:color="auto"/>
      </w:divBdr>
    </w:div>
    <w:div w:id="211501737">
      <w:bodyDiv w:val="1"/>
      <w:marLeft w:val="0"/>
      <w:marRight w:val="0"/>
      <w:marTop w:val="0"/>
      <w:marBottom w:val="0"/>
      <w:divBdr>
        <w:top w:val="none" w:sz="0" w:space="0" w:color="auto"/>
        <w:left w:val="none" w:sz="0" w:space="0" w:color="auto"/>
        <w:bottom w:val="none" w:sz="0" w:space="0" w:color="auto"/>
        <w:right w:val="none" w:sz="0" w:space="0" w:color="auto"/>
      </w:divBdr>
    </w:div>
    <w:div w:id="214238029">
      <w:bodyDiv w:val="1"/>
      <w:marLeft w:val="0"/>
      <w:marRight w:val="0"/>
      <w:marTop w:val="0"/>
      <w:marBottom w:val="0"/>
      <w:divBdr>
        <w:top w:val="none" w:sz="0" w:space="0" w:color="auto"/>
        <w:left w:val="none" w:sz="0" w:space="0" w:color="auto"/>
        <w:bottom w:val="none" w:sz="0" w:space="0" w:color="auto"/>
        <w:right w:val="none" w:sz="0" w:space="0" w:color="auto"/>
      </w:divBdr>
    </w:div>
    <w:div w:id="214586553">
      <w:bodyDiv w:val="1"/>
      <w:marLeft w:val="0"/>
      <w:marRight w:val="0"/>
      <w:marTop w:val="0"/>
      <w:marBottom w:val="0"/>
      <w:divBdr>
        <w:top w:val="none" w:sz="0" w:space="0" w:color="auto"/>
        <w:left w:val="none" w:sz="0" w:space="0" w:color="auto"/>
        <w:bottom w:val="none" w:sz="0" w:space="0" w:color="auto"/>
        <w:right w:val="none" w:sz="0" w:space="0" w:color="auto"/>
      </w:divBdr>
    </w:div>
    <w:div w:id="216867827">
      <w:bodyDiv w:val="1"/>
      <w:marLeft w:val="0"/>
      <w:marRight w:val="0"/>
      <w:marTop w:val="0"/>
      <w:marBottom w:val="0"/>
      <w:divBdr>
        <w:top w:val="none" w:sz="0" w:space="0" w:color="auto"/>
        <w:left w:val="none" w:sz="0" w:space="0" w:color="auto"/>
        <w:bottom w:val="none" w:sz="0" w:space="0" w:color="auto"/>
        <w:right w:val="none" w:sz="0" w:space="0" w:color="auto"/>
      </w:divBdr>
    </w:div>
    <w:div w:id="253173397">
      <w:bodyDiv w:val="1"/>
      <w:marLeft w:val="0"/>
      <w:marRight w:val="0"/>
      <w:marTop w:val="0"/>
      <w:marBottom w:val="0"/>
      <w:divBdr>
        <w:top w:val="none" w:sz="0" w:space="0" w:color="auto"/>
        <w:left w:val="none" w:sz="0" w:space="0" w:color="auto"/>
        <w:bottom w:val="none" w:sz="0" w:space="0" w:color="auto"/>
        <w:right w:val="none" w:sz="0" w:space="0" w:color="auto"/>
      </w:divBdr>
    </w:div>
    <w:div w:id="281427548">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334571405">
      <w:bodyDiv w:val="1"/>
      <w:marLeft w:val="0"/>
      <w:marRight w:val="0"/>
      <w:marTop w:val="0"/>
      <w:marBottom w:val="0"/>
      <w:divBdr>
        <w:top w:val="none" w:sz="0" w:space="0" w:color="auto"/>
        <w:left w:val="none" w:sz="0" w:space="0" w:color="auto"/>
        <w:bottom w:val="none" w:sz="0" w:space="0" w:color="auto"/>
        <w:right w:val="none" w:sz="0" w:space="0" w:color="auto"/>
      </w:divBdr>
    </w:div>
    <w:div w:id="336687615">
      <w:bodyDiv w:val="1"/>
      <w:marLeft w:val="0"/>
      <w:marRight w:val="0"/>
      <w:marTop w:val="0"/>
      <w:marBottom w:val="0"/>
      <w:divBdr>
        <w:top w:val="none" w:sz="0" w:space="0" w:color="auto"/>
        <w:left w:val="none" w:sz="0" w:space="0" w:color="auto"/>
        <w:bottom w:val="none" w:sz="0" w:space="0" w:color="auto"/>
        <w:right w:val="none" w:sz="0" w:space="0" w:color="auto"/>
      </w:divBdr>
    </w:div>
    <w:div w:id="337461665">
      <w:bodyDiv w:val="1"/>
      <w:marLeft w:val="0"/>
      <w:marRight w:val="0"/>
      <w:marTop w:val="0"/>
      <w:marBottom w:val="0"/>
      <w:divBdr>
        <w:top w:val="none" w:sz="0" w:space="0" w:color="auto"/>
        <w:left w:val="none" w:sz="0" w:space="0" w:color="auto"/>
        <w:bottom w:val="none" w:sz="0" w:space="0" w:color="auto"/>
        <w:right w:val="none" w:sz="0" w:space="0" w:color="auto"/>
      </w:divBdr>
    </w:div>
    <w:div w:id="339429337">
      <w:bodyDiv w:val="1"/>
      <w:marLeft w:val="0"/>
      <w:marRight w:val="0"/>
      <w:marTop w:val="0"/>
      <w:marBottom w:val="0"/>
      <w:divBdr>
        <w:top w:val="none" w:sz="0" w:space="0" w:color="auto"/>
        <w:left w:val="none" w:sz="0" w:space="0" w:color="auto"/>
        <w:bottom w:val="none" w:sz="0" w:space="0" w:color="auto"/>
        <w:right w:val="none" w:sz="0" w:space="0" w:color="auto"/>
      </w:divBdr>
    </w:div>
    <w:div w:id="354187200">
      <w:bodyDiv w:val="1"/>
      <w:marLeft w:val="0"/>
      <w:marRight w:val="0"/>
      <w:marTop w:val="0"/>
      <w:marBottom w:val="0"/>
      <w:divBdr>
        <w:top w:val="none" w:sz="0" w:space="0" w:color="auto"/>
        <w:left w:val="none" w:sz="0" w:space="0" w:color="auto"/>
        <w:bottom w:val="none" w:sz="0" w:space="0" w:color="auto"/>
        <w:right w:val="none" w:sz="0" w:space="0" w:color="auto"/>
      </w:divBdr>
    </w:div>
    <w:div w:id="397286105">
      <w:bodyDiv w:val="1"/>
      <w:marLeft w:val="0"/>
      <w:marRight w:val="0"/>
      <w:marTop w:val="0"/>
      <w:marBottom w:val="0"/>
      <w:divBdr>
        <w:top w:val="none" w:sz="0" w:space="0" w:color="auto"/>
        <w:left w:val="none" w:sz="0" w:space="0" w:color="auto"/>
        <w:bottom w:val="none" w:sz="0" w:space="0" w:color="auto"/>
        <w:right w:val="none" w:sz="0" w:space="0" w:color="auto"/>
      </w:divBdr>
    </w:div>
    <w:div w:id="502595600">
      <w:bodyDiv w:val="1"/>
      <w:marLeft w:val="0"/>
      <w:marRight w:val="0"/>
      <w:marTop w:val="0"/>
      <w:marBottom w:val="0"/>
      <w:divBdr>
        <w:top w:val="none" w:sz="0" w:space="0" w:color="auto"/>
        <w:left w:val="none" w:sz="0" w:space="0" w:color="auto"/>
        <w:bottom w:val="none" w:sz="0" w:space="0" w:color="auto"/>
        <w:right w:val="none" w:sz="0" w:space="0" w:color="auto"/>
      </w:divBdr>
    </w:div>
    <w:div w:id="504511713">
      <w:bodyDiv w:val="1"/>
      <w:marLeft w:val="0"/>
      <w:marRight w:val="0"/>
      <w:marTop w:val="0"/>
      <w:marBottom w:val="0"/>
      <w:divBdr>
        <w:top w:val="none" w:sz="0" w:space="0" w:color="auto"/>
        <w:left w:val="none" w:sz="0" w:space="0" w:color="auto"/>
        <w:bottom w:val="none" w:sz="0" w:space="0" w:color="auto"/>
        <w:right w:val="none" w:sz="0" w:space="0" w:color="auto"/>
      </w:divBdr>
    </w:div>
    <w:div w:id="511577190">
      <w:bodyDiv w:val="1"/>
      <w:marLeft w:val="0"/>
      <w:marRight w:val="0"/>
      <w:marTop w:val="0"/>
      <w:marBottom w:val="0"/>
      <w:divBdr>
        <w:top w:val="none" w:sz="0" w:space="0" w:color="auto"/>
        <w:left w:val="none" w:sz="0" w:space="0" w:color="auto"/>
        <w:bottom w:val="none" w:sz="0" w:space="0" w:color="auto"/>
        <w:right w:val="none" w:sz="0" w:space="0" w:color="auto"/>
      </w:divBdr>
    </w:div>
    <w:div w:id="514805698">
      <w:bodyDiv w:val="1"/>
      <w:marLeft w:val="0"/>
      <w:marRight w:val="0"/>
      <w:marTop w:val="0"/>
      <w:marBottom w:val="0"/>
      <w:divBdr>
        <w:top w:val="none" w:sz="0" w:space="0" w:color="auto"/>
        <w:left w:val="none" w:sz="0" w:space="0" w:color="auto"/>
        <w:bottom w:val="none" w:sz="0" w:space="0" w:color="auto"/>
        <w:right w:val="none" w:sz="0" w:space="0" w:color="auto"/>
      </w:divBdr>
    </w:div>
    <w:div w:id="534197464">
      <w:bodyDiv w:val="1"/>
      <w:marLeft w:val="0"/>
      <w:marRight w:val="0"/>
      <w:marTop w:val="0"/>
      <w:marBottom w:val="0"/>
      <w:divBdr>
        <w:top w:val="none" w:sz="0" w:space="0" w:color="auto"/>
        <w:left w:val="none" w:sz="0" w:space="0" w:color="auto"/>
        <w:bottom w:val="none" w:sz="0" w:space="0" w:color="auto"/>
        <w:right w:val="none" w:sz="0" w:space="0" w:color="auto"/>
      </w:divBdr>
    </w:div>
    <w:div w:id="554590311">
      <w:bodyDiv w:val="1"/>
      <w:marLeft w:val="0"/>
      <w:marRight w:val="0"/>
      <w:marTop w:val="0"/>
      <w:marBottom w:val="0"/>
      <w:divBdr>
        <w:top w:val="none" w:sz="0" w:space="0" w:color="auto"/>
        <w:left w:val="none" w:sz="0" w:space="0" w:color="auto"/>
        <w:bottom w:val="none" w:sz="0" w:space="0" w:color="auto"/>
        <w:right w:val="none" w:sz="0" w:space="0" w:color="auto"/>
      </w:divBdr>
    </w:div>
    <w:div w:id="556473836">
      <w:bodyDiv w:val="1"/>
      <w:marLeft w:val="0"/>
      <w:marRight w:val="0"/>
      <w:marTop w:val="0"/>
      <w:marBottom w:val="0"/>
      <w:divBdr>
        <w:top w:val="none" w:sz="0" w:space="0" w:color="auto"/>
        <w:left w:val="none" w:sz="0" w:space="0" w:color="auto"/>
        <w:bottom w:val="none" w:sz="0" w:space="0" w:color="auto"/>
        <w:right w:val="none" w:sz="0" w:space="0" w:color="auto"/>
      </w:divBdr>
    </w:div>
    <w:div w:id="565918927">
      <w:bodyDiv w:val="1"/>
      <w:marLeft w:val="0"/>
      <w:marRight w:val="0"/>
      <w:marTop w:val="0"/>
      <w:marBottom w:val="0"/>
      <w:divBdr>
        <w:top w:val="none" w:sz="0" w:space="0" w:color="auto"/>
        <w:left w:val="none" w:sz="0" w:space="0" w:color="auto"/>
        <w:bottom w:val="none" w:sz="0" w:space="0" w:color="auto"/>
        <w:right w:val="none" w:sz="0" w:space="0" w:color="auto"/>
      </w:divBdr>
    </w:div>
    <w:div w:id="604924164">
      <w:bodyDiv w:val="1"/>
      <w:marLeft w:val="0"/>
      <w:marRight w:val="0"/>
      <w:marTop w:val="0"/>
      <w:marBottom w:val="0"/>
      <w:divBdr>
        <w:top w:val="none" w:sz="0" w:space="0" w:color="auto"/>
        <w:left w:val="none" w:sz="0" w:space="0" w:color="auto"/>
        <w:bottom w:val="none" w:sz="0" w:space="0" w:color="auto"/>
        <w:right w:val="none" w:sz="0" w:space="0" w:color="auto"/>
      </w:divBdr>
    </w:div>
    <w:div w:id="631910607">
      <w:bodyDiv w:val="1"/>
      <w:marLeft w:val="0"/>
      <w:marRight w:val="0"/>
      <w:marTop w:val="0"/>
      <w:marBottom w:val="0"/>
      <w:divBdr>
        <w:top w:val="none" w:sz="0" w:space="0" w:color="auto"/>
        <w:left w:val="none" w:sz="0" w:space="0" w:color="auto"/>
        <w:bottom w:val="none" w:sz="0" w:space="0" w:color="auto"/>
        <w:right w:val="none" w:sz="0" w:space="0" w:color="auto"/>
      </w:divBdr>
    </w:div>
    <w:div w:id="632172511">
      <w:bodyDiv w:val="1"/>
      <w:marLeft w:val="0"/>
      <w:marRight w:val="0"/>
      <w:marTop w:val="0"/>
      <w:marBottom w:val="0"/>
      <w:divBdr>
        <w:top w:val="none" w:sz="0" w:space="0" w:color="auto"/>
        <w:left w:val="none" w:sz="0" w:space="0" w:color="auto"/>
        <w:bottom w:val="none" w:sz="0" w:space="0" w:color="auto"/>
        <w:right w:val="none" w:sz="0" w:space="0" w:color="auto"/>
      </w:divBdr>
    </w:div>
    <w:div w:id="638805484">
      <w:bodyDiv w:val="1"/>
      <w:marLeft w:val="0"/>
      <w:marRight w:val="0"/>
      <w:marTop w:val="0"/>
      <w:marBottom w:val="0"/>
      <w:divBdr>
        <w:top w:val="none" w:sz="0" w:space="0" w:color="auto"/>
        <w:left w:val="none" w:sz="0" w:space="0" w:color="auto"/>
        <w:bottom w:val="none" w:sz="0" w:space="0" w:color="auto"/>
        <w:right w:val="none" w:sz="0" w:space="0" w:color="auto"/>
      </w:divBdr>
    </w:div>
    <w:div w:id="639575624">
      <w:bodyDiv w:val="1"/>
      <w:marLeft w:val="0"/>
      <w:marRight w:val="0"/>
      <w:marTop w:val="0"/>
      <w:marBottom w:val="0"/>
      <w:divBdr>
        <w:top w:val="none" w:sz="0" w:space="0" w:color="auto"/>
        <w:left w:val="none" w:sz="0" w:space="0" w:color="auto"/>
        <w:bottom w:val="none" w:sz="0" w:space="0" w:color="auto"/>
        <w:right w:val="none" w:sz="0" w:space="0" w:color="auto"/>
      </w:divBdr>
    </w:div>
    <w:div w:id="661544658">
      <w:bodyDiv w:val="1"/>
      <w:marLeft w:val="0"/>
      <w:marRight w:val="0"/>
      <w:marTop w:val="0"/>
      <w:marBottom w:val="0"/>
      <w:divBdr>
        <w:top w:val="none" w:sz="0" w:space="0" w:color="auto"/>
        <w:left w:val="none" w:sz="0" w:space="0" w:color="auto"/>
        <w:bottom w:val="none" w:sz="0" w:space="0" w:color="auto"/>
        <w:right w:val="none" w:sz="0" w:space="0" w:color="auto"/>
      </w:divBdr>
    </w:div>
    <w:div w:id="674184569">
      <w:bodyDiv w:val="1"/>
      <w:marLeft w:val="0"/>
      <w:marRight w:val="0"/>
      <w:marTop w:val="0"/>
      <w:marBottom w:val="0"/>
      <w:divBdr>
        <w:top w:val="none" w:sz="0" w:space="0" w:color="auto"/>
        <w:left w:val="none" w:sz="0" w:space="0" w:color="auto"/>
        <w:bottom w:val="none" w:sz="0" w:space="0" w:color="auto"/>
        <w:right w:val="none" w:sz="0" w:space="0" w:color="auto"/>
      </w:divBdr>
    </w:div>
    <w:div w:id="697195265">
      <w:bodyDiv w:val="1"/>
      <w:marLeft w:val="0"/>
      <w:marRight w:val="0"/>
      <w:marTop w:val="0"/>
      <w:marBottom w:val="0"/>
      <w:divBdr>
        <w:top w:val="none" w:sz="0" w:space="0" w:color="auto"/>
        <w:left w:val="none" w:sz="0" w:space="0" w:color="auto"/>
        <w:bottom w:val="none" w:sz="0" w:space="0" w:color="auto"/>
        <w:right w:val="none" w:sz="0" w:space="0" w:color="auto"/>
      </w:divBdr>
    </w:div>
    <w:div w:id="713121895">
      <w:bodyDiv w:val="1"/>
      <w:marLeft w:val="0"/>
      <w:marRight w:val="0"/>
      <w:marTop w:val="0"/>
      <w:marBottom w:val="0"/>
      <w:divBdr>
        <w:top w:val="none" w:sz="0" w:space="0" w:color="auto"/>
        <w:left w:val="none" w:sz="0" w:space="0" w:color="auto"/>
        <w:bottom w:val="none" w:sz="0" w:space="0" w:color="auto"/>
        <w:right w:val="none" w:sz="0" w:space="0" w:color="auto"/>
      </w:divBdr>
    </w:div>
    <w:div w:id="715006577">
      <w:bodyDiv w:val="1"/>
      <w:marLeft w:val="0"/>
      <w:marRight w:val="0"/>
      <w:marTop w:val="0"/>
      <w:marBottom w:val="0"/>
      <w:divBdr>
        <w:top w:val="none" w:sz="0" w:space="0" w:color="auto"/>
        <w:left w:val="none" w:sz="0" w:space="0" w:color="auto"/>
        <w:bottom w:val="none" w:sz="0" w:space="0" w:color="auto"/>
        <w:right w:val="none" w:sz="0" w:space="0" w:color="auto"/>
      </w:divBdr>
    </w:div>
    <w:div w:id="753631214">
      <w:bodyDiv w:val="1"/>
      <w:marLeft w:val="0"/>
      <w:marRight w:val="0"/>
      <w:marTop w:val="0"/>
      <w:marBottom w:val="0"/>
      <w:divBdr>
        <w:top w:val="none" w:sz="0" w:space="0" w:color="auto"/>
        <w:left w:val="none" w:sz="0" w:space="0" w:color="auto"/>
        <w:bottom w:val="none" w:sz="0" w:space="0" w:color="auto"/>
        <w:right w:val="none" w:sz="0" w:space="0" w:color="auto"/>
      </w:divBdr>
    </w:div>
    <w:div w:id="754203680">
      <w:bodyDiv w:val="1"/>
      <w:marLeft w:val="0"/>
      <w:marRight w:val="0"/>
      <w:marTop w:val="0"/>
      <w:marBottom w:val="0"/>
      <w:divBdr>
        <w:top w:val="none" w:sz="0" w:space="0" w:color="auto"/>
        <w:left w:val="none" w:sz="0" w:space="0" w:color="auto"/>
        <w:bottom w:val="none" w:sz="0" w:space="0" w:color="auto"/>
        <w:right w:val="none" w:sz="0" w:space="0" w:color="auto"/>
      </w:divBdr>
    </w:div>
    <w:div w:id="761729238">
      <w:bodyDiv w:val="1"/>
      <w:marLeft w:val="0"/>
      <w:marRight w:val="0"/>
      <w:marTop w:val="0"/>
      <w:marBottom w:val="0"/>
      <w:divBdr>
        <w:top w:val="none" w:sz="0" w:space="0" w:color="auto"/>
        <w:left w:val="none" w:sz="0" w:space="0" w:color="auto"/>
        <w:bottom w:val="none" w:sz="0" w:space="0" w:color="auto"/>
        <w:right w:val="none" w:sz="0" w:space="0" w:color="auto"/>
      </w:divBdr>
    </w:div>
    <w:div w:id="765225938">
      <w:bodyDiv w:val="1"/>
      <w:marLeft w:val="0"/>
      <w:marRight w:val="0"/>
      <w:marTop w:val="0"/>
      <w:marBottom w:val="0"/>
      <w:divBdr>
        <w:top w:val="none" w:sz="0" w:space="0" w:color="auto"/>
        <w:left w:val="none" w:sz="0" w:space="0" w:color="auto"/>
        <w:bottom w:val="none" w:sz="0" w:space="0" w:color="auto"/>
        <w:right w:val="none" w:sz="0" w:space="0" w:color="auto"/>
      </w:divBdr>
    </w:div>
    <w:div w:id="787315246">
      <w:bodyDiv w:val="1"/>
      <w:marLeft w:val="0"/>
      <w:marRight w:val="0"/>
      <w:marTop w:val="0"/>
      <w:marBottom w:val="0"/>
      <w:divBdr>
        <w:top w:val="none" w:sz="0" w:space="0" w:color="auto"/>
        <w:left w:val="none" w:sz="0" w:space="0" w:color="auto"/>
        <w:bottom w:val="none" w:sz="0" w:space="0" w:color="auto"/>
        <w:right w:val="none" w:sz="0" w:space="0" w:color="auto"/>
      </w:divBdr>
    </w:div>
    <w:div w:id="823622126">
      <w:bodyDiv w:val="1"/>
      <w:marLeft w:val="0"/>
      <w:marRight w:val="0"/>
      <w:marTop w:val="0"/>
      <w:marBottom w:val="0"/>
      <w:divBdr>
        <w:top w:val="none" w:sz="0" w:space="0" w:color="auto"/>
        <w:left w:val="none" w:sz="0" w:space="0" w:color="auto"/>
        <w:bottom w:val="none" w:sz="0" w:space="0" w:color="auto"/>
        <w:right w:val="none" w:sz="0" w:space="0" w:color="auto"/>
      </w:divBdr>
    </w:div>
    <w:div w:id="837354668">
      <w:bodyDiv w:val="1"/>
      <w:marLeft w:val="0"/>
      <w:marRight w:val="0"/>
      <w:marTop w:val="0"/>
      <w:marBottom w:val="0"/>
      <w:divBdr>
        <w:top w:val="none" w:sz="0" w:space="0" w:color="auto"/>
        <w:left w:val="none" w:sz="0" w:space="0" w:color="auto"/>
        <w:bottom w:val="none" w:sz="0" w:space="0" w:color="auto"/>
        <w:right w:val="none" w:sz="0" w:space="0" w:color="auto"/>
      </w:divBdr>
    </w:div>
    <w:div w:id="837695543">
      <w:bodyDiv w:val="1"/>
      <w:marLeft w:val="0"/>
      <w:marRight w:val="0"/>
      <w:marTop w:val="0"/>
      <w:marBottom w:val="0"/>
      <w:divBdr>
        <w:top w:val="none" w:sz="0" w:space="0" w:color="auto"/>
        <w:left w:val="none" w:sz="0" w:space="0" w:color="auto"/>
        <w:bottom w:val="none" w:sz="0" w:space="0" w:color="auto"/>
        <w:right w:val="none" w:sz="0" w:space="0" w:color="auto"/>
      </w:divBdr>
    </w:div>
    <w:div w:id="849488530">
      <w:bodyDiv w:val="1"/>
      <w:marLeft w:val="0"/>
      <w:marRight w:val="0"/>
      <w:marTop w:val="0"/>
      <w:marBottom w:val="0"/>
      <w:divBdr>
        <w:top w:val="none" w:sz="0" w:space="0" w:color="auto"/>
        <w:left w:val="none" w:sz="0" w:space="0" w:color="auto"/>
        <w:bottom w:val="none" w:sz="0" w:space="0" w:color="auto"/>
        <w:right w:val="none" w:sz="0" w:space="0" w:color="auto"/>
      </w:divBdr>
    </w:div>
    <w:div w:id="861363455">
      <w:bodyDiv w:val="1"/>
      <w:marLeft w:val="0"/>
      <w:marRight w:val="0"/>
      <w:marTop w:val="0"/>
      <w:marBottom w:val="0"/>
      <w:divBdr>
        <w:top w:val="none" w:sz="0" w:space="0" w:color="auto"/>
        <w:left w:val="none" w:sz="0" w:space="0" w:color="auto"/>
        <w:bottom w:val="none" w:sz="0" w:space="0" w:color="auto"/>
        <w:right w:val="none" w:sz="0" w:space="0" w:color="auto"/>
      </w:divBdr>
    </w:div>
    <w:div w:id="878971806">
      <w:bodyDiv w:val="1"/>
      <w:marLeft w:val="0"/>
      <w:marRight w:val="0"/>
      <w:marTop w:val="0"/>
      <w:marBottom w:val="0"/>
      <w:divBdr>
        <w:top w:val="none" w:sz="0" w:space="0" w:color="auto"/>
        <w:left w:val="none" w:sz="0" w:space="0" w:color="auto"/>
        <w:bottom w:val="none" w:sz="0" w:space="0" w:color="auto"/>
        <w:right w:val="none" w:sz="0" w:space="0" w:color="auto"/>
      </w:divBdr>
    </w:div>
    <w:div w:id="886986807">
      <w:bodyDiv w:val="1"/>
      <w:marLeft w:val="0"/>
      <w:marRight w:val="0"/>
      <w:marTop w:val="0"/>
      <w:marBottom w:val="0"/>
      <w:divBdr>
        <w:top w:val="none" w:sz="0" w:space="0" w:color="auto"/>
        <w:left w:val="none" w:sz="0" w:space="0" w:color="auto"/>
        <w:bottom w:val="none" w:sz="0" w:space="0" w:color="auto"/>
        <w:right w:val="none" w:sz="0" w:space="0" w:color="auto"/>
      </w:divBdr>
    </w:div>
    <w:div w:id="907883410">
      <w:bodyDiv w:val="1"/>
      <w:marLeft w:val="0"/>
      <w:marRight w:val="0"/>
      <w:marTop w:val="0"/>
      <w:marBottom w:val="0"/>
      <w:divBdr>
        <w:top w:val="none" w:sz="0" w:space="0" w:color="auto"/>
        <w:left w:val="none" w:sz="0" w:space="0" w:color="auto"/>
        <w:bottom w:val="none" w:sz="0" w:space="0" w:color="auto"/>
        <w:right w:val="none" w:sz="0" w:space="0" w:color="auto"/>
      </w:divBdr>
      <w:divsChild>
        <w:div w:id="1363632254">
          <w:marLeft w:val="150"/>
          <w:marRight w:val="0"/>
          <w:marTop w:val="0"/>
          <w:marBottom w:val="0"/>
          <w:divBdr>
            <w:top w:val="none" w:sz="0" w:space="0" w:color="auto"/>
            <w:left w:val="none" w:sz="0" w:space="0" w:color="auto"/>
            <w:bottom w:val="none" w:sz="0" w:space="0" w:color="auto"/>
            <w:right w:val="single" w:sz="6" w:space="8" w:color="0469A3"/>
          </w:divBdr>
          <w:divsChild>
            <w:div w:id="1719012538">
              <w:marLeft w:val="0"/>
              <w:marRight w:val="0"/>
              <w:marTop w:val="0"/>
              <w:marBottom w:val="0"/>
              <w:divBdr>
                <w:top w:val="none" w:sz="0" w:space="0" w:color="auto"/>
                <w:left w:val="none" w:sz="0" w:space="0" w:color="auto"/>
                <w:bottom w:val="none" w:sz="0" w:space="0" w:color="auto"/>
                <w:right w:val="none" w:sz="0" w:space="0" w:color="auto"/>
              </w:divBdr>
              <w:divsChild>
                <w:div w:id="136848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7058060">
      <w:bodyDiv w:val="1"/>
      <w:marLeft w:val="0"/>
      <w:marRight w:val="0"/>
      <w:marTop w:val="0"/>
      <w:marBottom w:val="0"/>
      <w:divBdr>
        <w:top w:val="none" w:sz="0" w:space="0" w:color="auto"/>
        <w:left w:val="none" w:sz="0" w:space="0" w:color="auto"/>
        <w:bottom w:val="none" w:sz="0" w:space="0" w:color="auto"/>
        <w:right w:val="none" w:sz="0" w:space="0" w:color="auto"/>
      </w:divBdr>
    </w:div>
    <w:div w:id="985549580">
      <w:bodyDiv w:val="1"/>
      <w:marLeft w:val="0"/>
      <w:marRight w:val="0"/>
      <w:marTop w:val="0"/>
      <w:marBottom w:val="0"/>
      <w:divBdr>
        <w:top w:val="none" w:sz="0" w:space="0" w:color="auto"/>
        <w:left w:val="none" w:sz="0" w:space="0" w:color="auto"/>
        <w:bottom w:val="none" w:sz="0" w:space="0" w:color="auto"/>
        <w:right w:val="none" w:sz="0" w:space="0" w:color="auto"/>
      </w:divBdr>
    </w:div>
    <w:div w:id="996490989">
      <w:bodyDiv w:val="1"/>
      <w:marLeft w:val="0"/>
      <w:marRight w:val="0"/>
      <w:marTop w:val="0"/>
      <w:marBottom w:val="0"/>
      <w:divBdr>
        <w:top w:val="none" w:sz="0" w:space="0" w:color="auto"/>
        <w:left w:val="none" w:sz="0" w:space="0" w:color="auto"/>
        <w:bottom w:val="none" w:sz="0" w:space="0" w:color="auto"/>
        <w:right w:val="none" w:sz="0" w:space="0" w:color="auto"/>
      </w:divBdr>
    </w:div>
    <w:div w:id="998270122">
      <w:bodyDiv w:val="1"/>
      <w:marLeft w:val="0"/>
      <w:marRight w:val="0"/>
      <w:marTop w:val="0"/>
      <w:marBottom w:val="0"/>
      <w:divBdr>
        <w:top w:val="none" w:sz="0" w:space="0" w:color="auto"/>
        <w:left w:val="none" w:sz="0" w:space="0" w:color="auto"/>
        <w:bottom w:val="none" w:sz="0" w:space="0" w:color="auto"/>
        <w:right w:val="none" w:sz="0" w:space="0" w:color="auto"/>
      </w:divBdr>
    </w:div>
    <w:div w:id="1006128647">
      <w:bodyDiv w:val="1"/>
      <w:marLeft w:val="0"/>
      <w:marRight w:val="0"/>
      <w:marTop w:val="0"/>
      <w:marBottom w:val="0"/>
      <w:divBdr>
        <w:top w:val="none" w:sz="0" w:space="0" w:color="auto"/>
        <w:left w:val="none" w:sz="0" w:space="0" w:color="auto"/>
        <w:bottom w:val="none" w:sz="0" w:space="0" w:color="auto"/>
        <w:right w:val="none" w:sz="0" w:space="0" w:color="auto"/>
      </w:divBdr>
    </w:div>
    <w:div w:id="1115447844">
      <w:bodyDiv w:val="1"/>
      <w:marLeft w:val="0"/>
      <w:marRight w:val="0"/>
      <w:marTop w:val="0"/>
      <w:marBottom w:val="0"/>
      <w:divBdr>
        <w:top w:val="none" w:sz="0" w:space="0" w:color="auto"/>
        <w:left w:val="none" w:sz="0" w:space="0" w:color="auto"/>
        <w:bottom w:val="none" w:sz="0" w:space="0" w:color="auto"/>
        <w:right w:val="none" w:sz="0" w:space="0" w:color="auto"/>
      </w:divBdr>
    </w:div>
    <w:div w:id="1131240538">
      <w:bodyDiv w:val="1"/>
      <w:marLeft w:val="0"/>
      <w:marRight w:val="0"/>
      <w:marTop w:val="0"/>
      <w:marBottom w:val="0"/>
      <w:divBdr>
        <w:top w:val="none" w:sz="0" w:space="0" w:color="auto"/>
        <w:left w:val="none" w:sz="0" w:space="0" w:color="auto"/>
        <w:bottom w:val="none" w:sz="0" w:space="0" w:color="auto"/>
        <w:right w:val="none" w:sz="0" w:space="0" w:color="auto"/>
      </w:divBdr>
    </w:div>
    <w:div w:id="1151681494">
      <w:bodyDiv w:val="1"/>
      <w:marLeft w:val="0"/>
      <w:marRight w:val="0"/>
      <w:marTop w:val="0"/>
      <w:marBottom w:val="0"/>
      <w:divBdr>
        <w:top w:val="none" w:sz="0" w:space="0" w:color="auto"/>
        <w:left w:val="none" w:sz="0" w:space="0" w:color="auto"/>
        <w:bottom w:val="none" w:sz="0" w:space="0" w:color="auto"/>
        <w:right w:val="none" w:sz="0" w:space="0" w:color="auto"/>
      </w:divBdr>
    </w:div>
    <w:div w:id="1180007348">
      <w:bodyDiv w:val="1"/>
      <w:marLeft w:val="0"/>
      <w:marRight w:val="0"/>
      <w:marTop w:val="0"/>
      <w:marBottom w:val="0"/>
      <w:divBdr>
        <w:top w:val="none" w:sz="0" w:space="0" w:color="auto"/>
        <w:left w:val="none" w:sz="0" w:space="0" w:color="auto"/>
        <w:bottom w:val="none" w:sz="0" w:space="0" w:color="auto"/>
        <w:right w:val="none" w:sz="0" w:space="0" w:color="auto"/>
      </w:divBdr>
    </w:div>
    <w:div w:id="1203251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8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08653">
          <w:blockQuote w:val="1"/>
          <w:marLeft w:val="600"/>
          <w:marRight w:val="600"/>
          <w:marTop w:val="240"/>
          <w:marBottom w:val="240"/>
          <w:divBdr>
            <w:top w:val="none" w:sz="0" w:space="0" w:color="auto"/>
            <w:left w:val="none" w:sz="0" w:space="0" w:color="auto"/>
            <w:bottom w:val="none" w:sz="0" w:space="0" w:color="auto"/>
            <w:right w:val="none" w:sz="0" w:space="0" w:color="auto"/>
          </w:divBdr>
        </w:div>
        <w:div w:id="225588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41528069">
      <w:bodyDiv w:val="1"/>
      <w:marLeft w:val="0"/>
      <w:marRight w:val="0"/>
      <w:marTop w:val="0"/>
      <w:marBottom w:val="0"/>
      <w:divBdr>
        <w:top w:val="none" w:sz="0" w:space="0" w:color="auto"/>
        <w:left w:val="none" w:sz="0" w:space="0" w:color="auto"/>
        <w:bottom w:val="none" w:sz="0" w:space="0" w:color="auto"/>
        <w:right w:val="none" w:sz="0" w:space="0" w:color="auto"/>
      </w:divBdr>
    </w:div>
    <w:div w:id="1242064224">
      <w:bodyDiv w:val="1"/>
      <w:marLeft w:val="0"/>
      <w:marRight w:val="0"/>
      <w:marTop w:val="0"/>
      <w:marBottom w:val="0"/>
      <w:divBdr>
        <w:top w:val="none" w:sz="0" w:space="0" w:color="auto"/>
        <w:left w:val="none" w:sz="0" w:space="0" w:color="auto"/>
        <w:bottom w:val="none" w:sz="0" w:space="0" w:color="auto"/>
        <w:right w:val="none" w:sz="0" w:space="0" w:color="auto"/>
      </w:divBdr>
    </w:div>
    <w:div w:id="1246692539">
      <w:bodyDiv w:val="1"/>
      <w:marLeft w:val="0"/>
      <w:marRight w:val="0"/>
      <w:marTop w:val="0"/>
      <w:marBottom w:val="0"/>
      <w:divBdr>
        <w:top w:val="none" w:sz="0" w:space="0" w:color="auto"/>
        <w:left w:val="none" w:sz="0" w:space="0" w:color="auto"/>
        <w:bottom w:val="none" w:sz="0" w:space="0" w:color="auto"/>
        <w:right w:val="none" w:sz="0" w:space="0" w:color="auto"/>
      </w:divBdr>
    </w:div>
    <w:div w:id="1257403921">
      <w:bodyDiv w:val="1"/>
      <w:marLeft w:val="0"/>
      <w:marRight w:val="0"/>
      <w:marTop w:val="0"/>
      <w:marBottom w:val="0"/>
      <w:divBdr>
        <w:top w:val="none" w:sz="0" w:space="0" w:color="auto"/>
        <w:left w:val="none" w:sz="0" w:space="0" w:color="auto"/>
        <w:bottom w:val="none" w:sz="0" w:space="0" w:color="auto"/>
        <w:right w:val="none" w:sz="0" w:space="0" w:color="auto"/>
      </w:divBdr>
    </w:div>
    <w:div w:id="1269193071">
      <w:bodyDiv w:val="1"/>
      <w:marLeft w:val="0"/>
      <w:marRight w:val="0"/>
      <w:marTop w:val="0"/>
      <w:marBottom w:val="0"/>
      <w:divBdr>
        <w:top w:val="none" w:sz="0" w:space="0" w:color="auto"/>
        <w:left w:val="none" w:sz="0" w:space="0" w:color="auto"/>
        <w:bottom w:val="none" w:sz="0" w:space="0" w:color="auto"/>
        <w:right w:val="none" w:sz="0" w:space="0" w:color="auto"/>
      </w:divBdr>
    </w:div>
    <w:div w:id="1274552967">
      <w:bodyDiv w:val="1"/>
      <w:marLeft w:val="0"/>
      <w:marRight w:val="0"/>
      <w:marTop w:val="0"/>
      <w:marBottom w:val="0"/>
      <w:divBdr>
        <w:top w:val="none" w:sz="0" w:space="0" w:color="auto"/>
        <w:left w:val="none" w:sz="0" w:space="0" w:color="auto"/>
        <w:bottom w:val="none" w:sz="0" w:space="0" w:color="auto"/>
        <w:right w:val="none" w:sz="0" w:space="0" w:color="auto"/>
      </w:divBdr>
    </w:div>
    <w:div w:id="1295525294">
      <w:bodyDiv w:val="1"/>
      <w:marLeft w:val="0"/>
      <w:marRight w:val="0"/>
      <w:marTop w:val="0"/>
      <w:marBottom w:val="0"/>
      <w:divBdr>
        <w:top w:val="none" w:sz="0" w:space="0" w:color="auto"/>
        <w:left w:val="none" w:sz="0" w:space="0" w:color="auto"/>
        <w:bottom w:val="none" w:sz="0" w:space="0" w:color="auto"/>
        <w:right w:val="none" w:sz="0" w:space="0" w:color="auto"/>
      </w:divBdr>
    </w:div>
    <w:div w:id="1327394148">
      <w:bodyDiv w:val="1"/>
      <w:marLeft w:val="0"/>
      <w:marRight w:val="0"/>
      <w:marTop w:val="0"/>
      <w:marBottom w:val="0"/>
      <w:divBdr>
        <w:top w:val="none" w:sz="0" w:space="0" w:color="auto"/>
        <w:left w:val="none" w:sz="0" w:space="0" w:color="auto"/>
        <w:bottom w:val="none" w:sz="0" w:space="0" w:color="auto"/>
        <w:right w:val="none" w:sz="0" w:space="0" w:color="auto"/>
      </w:divBdr>
    </w:div>
    <w:div w:id="1343895939">
      <w:bodyDiv w:val="1"/>
      <w:marLeft w:val="0"/>
      <w:marRight w:val="0"/>
      <w:marTop w:val="0"/>
      <w:marBottom w:val="0"/>
      <w:divBdr>
        <w:top w:val="none" w:sz="0" w:space="0" w:color="auto"/>
        <w:left w:val="none" w:sz="0" w:space="0" w:color="auto"/>
        <w:bottom w:val="none" w:sz="0" w:space="0" w:color="auto"/>
        <w:right w:val="none" w:sz="0" w:space="0" w:color="auto"/>
      </w:divBdr>
    </w:div>
    <w:div w:id="1363172583">
      <w:bodyDiv w:val="1"/>
      <w:marLeft w:val="0"/>
      <w:marRight w:val="0"/>
      <w:marTop w:val="0"/>
      <w:marBottom w:val="0"/>
      <w:divBdr>
        <w:top w:val="none" w:sz="0" w:space="0" w:color="auto"/>
        <w:left w:val="none" w:sz="0" w:space="0" w:color="auto"/>
        <w:bottom w:val="none" w:sz="0" w:space="0" w:color="auto"/>
        <w:right w:val="none" w:sz="0" w:space="0" w:color="auto"/>
      </w:divBdr>
    </w:div>
    <w:div w:id="1365521709">
      <w:bodyDiv w:val="1"/>
      <w:marLeft w:val="0"/>
      <w:marRight w:val="0"/>
      <w:marTop w:val="0"/>
      <w:marBottom w:val="0"/>
      <w:divBdr>
        <w:top w:val="none" w:sz="0" w:space="0" w:color="auto"/>
        <w:left w:val="none" w:sz="0" w:space="0" w:color="auto"/>
        <w:bottom w:val="none" w:sz="0" w:space="0" w:color="auto"/>
        <w:right w:val="none" w:sz="0" w:space="0" w:color="auto"/>
      </w:divBdr>
    </w:div>
    <w:div w:id="1367756360">
      <w:bodyDiv w:val="1"/>
      <w:marLeft w:val="0"/>
      <w:marRight w:val="0"/>
      <w:marTop w:val="0"/>
      <w:marBottom w:val="0"/>
      <w:divBdr>
        <w:top w:val="none" w:sz="0" w:space="0" w:color="auto"/>
        <w:left w:val="none" w:sz="0" w:space="0" w:color="auto"/>
        <w:bottom w:val="none" w:sz="0" w:space="0" w:color="auto"/>
        <w:right w:val="none" w:sz="0" w:space="0" w:color="auto"/>
      </w:divBdr>
    </w:div>
    <w:div w:id="1392465824">
      <w:bodyDiv w:val="1"/>
      <w:marLeft w:val="0"/>
      <w:marRight w:val="0"/>
      <w:marTop w:val="0"/>
      <w:marBottom w:val="0"/>
      <w:divBdr>
        <w:top w:val="none" w:sz="0" w:space="0" w:color="auto"/>
        <w:left w:val="none" w:sz="0" w:space="0" w:color="auto"/>
        <w:bottom w:val="none" w:sz="0" w:space="0" w:color="auto"/>
        <w:right w:val="none" w:sz="0" w:space="0" w:color="auto"/>
      </w:divBdr>
    </w:div>
    <w:div w:id="1396977849">
      <w:bodyDiv w:val="1"/>
      <w:marLeft w:val="0"/>
      <w:marRight w:val="0"/>
      <w:marTop w:val="0"/>
      <w:marBottom w:val="0"/>
      <w:divBdr>
        <w:top w:val="none" w:sz="0" w:space="0" w:color="auto"/>
        <w:left w:val="none" w:sz="0" w:space="0" w:color="auto"/>
        <w:bottom w:val="none" w:sz="0" w:space="0" w:color="auto"/>
        <w:right w:val="none" w:sz="0" w:space="0" w:color="auto"/>
      </w:divBdr>
    </w:div>
    <w:div w:id="1410271608">
      <w:bodyDiv w:val="1"/>
      <w:marLeft w:val="0"/>
      <w:marRight w:val="0"/>
      <w:marTop w:val="0"/>
      <w:marBottom w:val="0"/>
      <w:divBdr>
        <w:top w:val="none" w:sz="0" w:space="0" w:color="auto"/>
        <w:left w:val="none" w:sz="0" w:space="0" w:color="auto"/>
        <w:bottom w:val="none" w:sz="0" w:space="0" w:color="auto"/>
        <w:right w:val="none" w:sz="0" w:space="0" w:color="auto"/>
      </w:divBdr>
    </w:div>
    <w:div w:id="1415123669">
      <w:bodyDiv w:val="1"/>
      <w:marLeft w:val="0"/>
      <w:marRight w:val="0"/>
      <w:marTop w:val="0"/>
      <w:marBottom w:val="0"/>
      <w:divBdr>
        <w:top w:val="none" w:sz="0" w:space="0" w:color="auto"/>
        <w:left w:val="none" w:sz="0" w:space="0" w:color="auto"/>
        <w:bottom w:val="none" w:sz="0" w:space="0" w:color="auto"/>
        <w:right w:val="none" w:sz="0" w:space="0" w:color="auto"/>
      </w:divBdr>
    </w:div>
    <w:div w:id="1445729301">
      <w:bodyDiv w:val="1"/>
      <w:marLeft w:val="0"/>
      <w:marRight w:val="0"/>
      <w:marTop w:val="0"/>
      <w:marBottom w:val="0"/>
      <w:divBdr>
        <w:top w:val="none" w:sz="0" w:space="0" w:color="auto"/>
        <w:left w:val="none" w:sz="0" w:space="0" w:color="auto"/>
        <w:bottom w:val="none" w:sz="0" w:space="0" w:color="auto"/>
        <w:right w:val="none" w:sz="0" w:space="0" w:color="auto"/>
      </w:divBdr>
    </w:div>
    <w:div w:id="1453595038">
      <w:bodyDiv w:val="1"/>
      <w:marLeft w:val="0"/>
      <w:marRight w:val="0"/>
      <w:marTop w:val="0"/>
      <w:marBottom w:val="0"/>
      <w:divBdr>
        <w:top w:val="none" w:sz="0" w:space="0" w:color="auto"/>
        <w:left w:val="none" w:sz="0" w:space="0" w:color="auto"/>
        <w:bottom w:val="none" w:sz="0" w:space="0" w:color="auto"/>
        <w:right w:val="none" w:sz="0" w:space="0" w:color="auto"/>
      </w:divBdr>
    </w:div>
    <w:div w:id="1517690000">
      <w:bodyDiv w:val="1"/>
      <w:marLeft w:val="0"/>
      <w:marRight w:val="0"/>
      <w:marTop w:val="0"/>
      <w:marBottom w:val="0"/>
      <w:divBdr>
        <w:top w:val="none" w:sz="0" w:space="0" w:color="auto"/>
        <w:left w:val="none" w:sz="0" w:space="0" w:color="auto"/>
        <w:bottom w:val="none" w:sz="0" w:space="0" w:color="auto"/>
        <w:right w:val="none" w:sz="0" w:space="0" w:color="auto"/>
      </w:divBdr>
    </w:div>
    <w:div w:id="1563563648">
      <w:bodyDiv w:val="1"/>
      <w:marLeft w:val="0"/>
      <w:marRight w:val="0"/>
      <w:marTop w:val="0"/>
      <w:marBottom w:val="0"/>
      <w:divBdr>
        <w:top w:val="none" w:sz="0" w:space="0" w:color="auto"/>
        <w:left w:val="none" w:sz="0" w:space="0" w:color="auto"/>
        <w:bottom w:val="none" w:sz="0" w:space="0" w:color="auto"/>
        <w:right w:val="none" w:sz="0" w:space="0" w:color="auto"/>
      </w:divBdr>
    </w:div>
    <w:div w:id="1564751245">
      <w:bodyDiv w:val="1"/>
      <w:marLeft w:val="0"/>
      <w:marRight w:val="0"/>
      <w:marTop w:val="0"/>
      <w:marBottom w:val="0"/>
      <w:divBdr>
        <w:top w:val="none" w:sz="0" w:space="0" w:color="auto"/>
        <w:left w:val="none" w:sz="0" w:space="0" w:color="auto"/>
        <w:bottom w:val="none" w:sz="0" w:space="0" w:color="auto"/>
        <w:right w:val="none" w:sz="0" w:space="0" w:color="auto"/>
      </w:divBdr>
    </w:div>
    <w:div w:id="1665818683">
      <w:bodyDiv w:val="1"/>
      <w:marLeft w:val="0"/>
      <w:marRight w:val="0"/>
      <w:marTop w:val="0"/>
      <w:marBottom w:val="0"/>
      <w:divBdr>
        <w:top w:val="none" w:sz="0" w:space="0" w:color="auto"/>
        <w:left w:val="none" w:sz="0" w:space="0" w:color="auto"/>
        <w:bottom w:val="none" w:sz="0" w:space="0" w:color="auto"/>
        <w:right w:val="none" w:sz="0" w:space="0" w:color="auto"/>
      </w:divBdr>
      <w:divsChild>
        <w:div w:id="1370062342">
          <w:blockQuote w:val="1"/>
          <w:marLeft w:val="600"/>
          <w:marRight w:val="600"/>
          <w:marTop w:val="240"/>
          <w:marBottom w:val="240"/>
          <w:divBdr>
            <w:top w:val="none" w:sz="0" w:space="0" w:color="auto"/>
            <w:left w:val="none" w:sz="0" w:space="0" w:color="auto"/>
            <w:bottom w:val="none" w:sz="0" w:space="0" w:color="auto"/>
            <w:right w:val="none" w:sz="0" w:space="0" w:color="auto"/>
          </w:divBdr>
        </w:div>
        <w:div w:id="683364771">
          <w:blockQuote w:val="1"/>
          <w:marLeft w:val="600"/>
          <w:marRight w:val="600"/>
          <w:marTop w:val="240"/>
          <w:marBottom w:val="240"/>
          <w:divBdr>
            <w:top w:val="none" w:sz="0" w:space="0" w:color="auto"/>
            <w:left w:val="none" w:sz="0" w:space="0" w:color="auto"/>
            <w:bottom w:val="none" w:sz="0" w:space="0" w:color="auto"/>
            <w:right w:val="none" w:sz="0" w:space="0" w:color="auto"/>
          </w:divBdr>
        </w:div>
        <w:div w:id="4243493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69409205">
      <w:bodyDiv w:val="1"/>
      <w:marLeft w:val="0"/>
      <w:marRight w:val="0"/>
      <w:marTop w:val="0"/>
      <w:marBottom w:val="0"/>
      <w:divBdr>
        <w:top w:val="none" w:sz="0" w:space="0" w:color="auto"/>
        <w:left w:val="none" w:sz="0" w:space="0" w:color="auto"/>
        <w:bottom w:val="none" w:sz="0" w:space="0" w:color="auto"/>
        <w:right w:val="none" w:sz="0" w:space="0" w:color="auto"/>
      </w:divBdr>
    </w:div>
    <w:div w:id="1672222878">
      <w:bodyDiv w:val="1"/>
      <w:marLeft w:val="0"/>
      <w:marRight w:val="0"/>
      <w:marTop w:val="0"/>
      <w:marBottom w:val="0"/>
      <w:divBdr>
        <w:top w:val="none" w:sz="0" w:space="0" w:color="auto"/>
        <w:left w:val="none" w:sz="0" w:space="0" w:color="auto"/>
        <w:bottom w:val="none" w:sz="0" w:space="0" w:color="auto"/>
        <w:right w:val="none" w:sz="0" w:space="0" w:color="auto"/>
      </w:divBdr>
    </w:div>
    <w:div w:id="1675524264">
      <w:bodyDiv w:val="1"/>
      <w:marLeft w:val="0"/>
      <w:marRight w:val="0"/>
      <w:marTop w:val="0"/>
      <w:marBottom w:val="0"/>
      <w:divBdr>
        <w:top w:val="none" w:sz="0" w:space="0" w:color="auto"/>
        <w:left w:val="none" w:sz="0" w:space="0" w:color="auto"/>
        <w:bottom w:val="none" w:sz="0" w:space="0" w:color="auto"/>
        <w:right w:val="none" w:sz="0" w:space="0" w:color="auto"/>
      </w:divBdr>
    </w:div>
    <w:div w:id="1729956201">
      <w:bodyDiv w:val="1"/>
      <w:marLeft w:val="0"/>
      <w:marRight w:val="0"/>
      <w:marTop w:val="0"/>
      <w:marBottom w:val="0"/>
      <w:divBdr>
        <w:top w:val="none" w:sz="0" w:space="0" w:color="auto"/>
        <w:left w:val="none" w:sz="0" w:space="0" w:color="auto"/>
        <w:bottom w:val="none" w:sz="0" w:space="0" w:color="auto"/>
        <w:right w:val="none" w:sz="0" w:space="0" w:color="auto"/>
      </w:divBdr>
    </w:div>
    <w:div w:id="1731270718">
      <w:bodyDiv w:val="1"/>
      <w:marLeft w:val="0"/>
      <w:marRight w:val="0"/>
      <w:marTop w:val="0"/>
      <w:marBottom w:val="0"/>
      <w:divBdr>
        <w:top w:val="none" w:sz="0" w:space="0" w:color="auto"/>
        <w:left w:val="none" w:sz="0" w:space="0" w:color="auto"/>
        <w:bottom w:val="none" w:sz="0" w:space="0" w:color="auto"/>
        <w:right w:val="none" w:sz="0" w:space="0" w:color="auto"/>
      </w:divBdr>
    </w:div>
    <w:div w:id="1756440376">
      <w:bodyDiv w:val="1"/>
      <w:marLeft w:val="0"/>
      <w:marRight w:val="0"/>
      <w:marTop w:val="0"/>
      <w:marBottom w:val="0"/>
      <w:divBdr>
        <w:top w:val="none" w:sz="0" w:space="0" w:color="auto"/>
        <w:left w:val="none" w:sz="0" w:space="0" w:color="auto"/>
        <w:bottom w:val="none" w:sz="0" w:space="0" w:color="auto"/>
        <w:right w:val="none" w:sz="0" w:space="0" w:color="auto"/>
      </w:divBdr>
    </w:div>
    <w:div w:id="1783182832">
      <w:bodyDiv w:val="1"/>
      <w:marLeft w:val="0"/>
      <w:marRight w:val="0"/>
      <w:marTop w:val="0"/>
      <w:marBottom w:val="0"/>
      <w:divBdr>
        <w:top w:val="none" w:sz="0" w:space="0" w:color="auto"/>
        <w:left w:val="none" w:sz="0" w:space="0" w:color="auto"/>
        <w:bottom w:val="none" w:sz="0" w:space="0" w:color="auto"/>
        <w:right w:val="none" w:sz="0" w:space="0" w:color="auto"/>
      </w:divBdr>
    </w:div>
    <w:div w:id="1783988048">
      <w:bodyDiv w:val="1"/>
      <w:marLeft w:val="0"/>
      <w:marRight w:val="0"/>
      <w:marTop w:val="0"/>
      <w:marBottom w:val="0"/>
      <w:divBdr>
        <w:top w:val="none" w:sz="0" w:space="0" w:color="auto"/>
        <w:left w:val="none" w:sz="0" w:space="0" w:color="auto"/>
        <w:bottom w:val="none" w:sz="0" w:space="0" w:color="auto"/>
        <w:right w:val="none" w:sz="0" w:space="0" w:color="auto"/>
      </w:divBdr>
    </w:div>
    <w:div w:id="1791312741">
      <w:bodyDiv w:val="1"/>
      <w:marLeft w:val="0"/>
      <w:marRight w:val="0"/>
      <w:marTop w:val="0"/>
      <w:marBottom w:val="0"/>
      <w:divBdr>
        <w:top w:val="none" w:sz="0" w:space="0" w:color="auto"/>
        <w:left w:val="none" w:sz="0" w:space="0" w:color="auto"/>
        <w:bottom w:val="none" w:sz="0" w:space="0" w:color="auto"/>
        <w:right w:val="none" w:sz="0" w:space="0" w:color="auto"/>
      </w:divBdr>
    </w:div>
    <w:div w:id="1852599766">
      <w:bodyDiv w:val="1"/>
      <w:marLeft w:val="0"/>
      <w:marRight w:val="0"/>
      <w:marTop w:val="0"/>
      <w:marBottom w:val="0"/>
      <w:divBdr>
        <w:top w:val="none" w:sz="0" w:space="0" w:color="auto"/>
        <w:left w:val="none" w:sz="0" w:space="0" w:color="auto"/>
        <w:bottom w:val="none" w:sz="0" w:space="0" w:color="auto"/>
        <w:right w:val="none" w:sz="0" w:space="0" w:color="auto"/>
      </w:divBdr>
    </w:div>
    <w:div w:id="1865098571">
      <w:bodyDiv w:val="1"/>
      <w:marLeft w:val="0"/>
      <w:marRight w:val="0"/>
      <w:marTop w:val="0"/>
      <w:marBottom w:val="0"/>
      <w:divBdr>
        <w:top w:val="none" w:sz="0" w:space="0" w:color="auto"/>
        <w:left w:val="none" w:sz="0" w:space="0" w:color="auto"/>
        <w:bottom w:val="none" w:sz="0" w:space="0" w:color="auto"/>
        <w:right w:val="none" w:sz="0" w:space="0" w:color="auto"/>
      </w:divBdr>
    </w:div>
    <w:div w:id="1872956208">
      <w:bodyDiv w:val="1"/>
      <w:marLeft w:val="0"/>
      <w:marRight w:val="0"/>
      <w:marTop w:val="0"/>
      <w:marBottom w:val="0"/>
      <w:divBdr>
        <w:top w:val="none" w:sz="0" w:space="0" w:color="auto"/>
        <w:left w:val="none" w:sz="0" w:space="0" w:color="auto"/>
        <w:bottom w:val="none" w:sz="0" w:space="0" w:color="auto"/>
        <w:right w:val="none" w:sz="0" w:space="0" w:color="auto"/>
      </w:divBdr>
    </w:div>
    <w:div w:id="1908491040">
      <w:bodyDiv w:val="1"/>
      <w:marLeft w:val="0"/>
      <w:marRight w:val="0"/>
      <w:marTop w:val="0"/>
      <w:marBottom w:val="0"/>
      <w:divBdr>
        <w:top w:val="none" w:sz="0" w:space="0" w:color="auto"/>
        <w:left w:val="none" w:sz="0" w:space="0" w:color="auto"/>
        <w:bottom w:val="none" w:sz="0" w:space="0" w:color="auto"/>
        <w:right w:val="none" w:sz="0" w:space="0" w:color="auto"/>
      </w:divBdr>
    </w:div>
    <w:div w:id="1990665422">
      <w:bodyDiv w:val="1"/>
      <w:marLeft w:val="0"/>
      <w:marRight w:val="0"/>
      <w:marTop w:val="0"/>
      <w:marBottom w:val="0"/>
      <w:divBdr>
        <w:top w:val="none" w:sz="0" w:space="0" w:color="auto"/>
        <w:left w:val="none" w:sz="0" w:space="0" w:color="auto"/>
        <w:bottom w:val="none" w:sz="0" w:space="0" w:color="auto"/>
        <w:right w:val="none" w:sz="0" w:space="0" w:color="auto"/>
      </w:divBdr>
    </w:div>
    <w:div w:id="1992712213">
      <w:bodyDiv w:val="1"/>
      <w:marLeft w:val="0"/>
      <w:marRight w:val="0"/>
      <w:marTop w:val="0"/>
      <w:marBottom w:val="0"/>
      <w:divBdr>
        <w:top w:val="none" w:sz="0" w:space="0" w:color="auto"/>
        <w:left w:val="none" w:sz="0" w:space="0" w:color="auto"/>
        <w:bottom w:val="none" w:sz="0" w:space="0" w:color="auto"/>
        <w:right w:val="none" w:sz="0" w:space="0" w:color="auto"/>
      </w:divBdr>
    </w:div>
    <w:div w:id="2014184872">
      <w:bodyDiv w:val="1"/>
      <w:marLeft w:val="0"/>
      <w:marRight w:val="0"/>
      <w:marTop w:val="0"/>
      <w:marBottom w:val="0"/>
      <w:divBdr>
        <w:top w:val="none" w:sz="0" w:space="0" w:color="auto"/>
        <w:left w:val="none" w:sz="0" w:space="0" w:color="auto"/>
        <w:bottom w:val="none" w:sz="0" w:space="0" w:color="auto"/>
        <w:right w:val="none" w:sz="0" w:space="0" w:color="auto"/>
      </w:divBdr>
    </w:div>
    <w:div w:id="2086144684">
      <w:bodyDiv w:val="1"/>
      <w:marLeft w:val="0"/>
      <w:marRight w:val="0"/>
      <w:marTop w:val="0"/>
      <w:marBottom w:val="0"/>
      <w:divBdr>
        <w:top w:val="none" w:sz="0" w:space="0" w:color="auto"/>
        <w:left w:val="none" w:sz="0" w:space="0" w:color="auto"/>
        <w:bottom w:val="none" w:sz="0" w:space="0" w:color="auto"/>
        <w:right w:val="none" w:sz="0" w:space="0" w:color="auto"/>
      </w:divBdr>
    </w:div>
    <w:div w:id="2091654621">
      <w:bodyDiv w:val="1"/>
      <w:marLeft w:val="0"/>
      <w:marRight w:val="0"/>
      <w:marTop w:val="0"/>
      <w:marBottom w:val="0"/>
      <w:divBdr>
        <w:top w:val="none" w:sz="0" w:space="0" w:color="auto"/>
        <w:left w:val="none" w:sz="0" w:space="0" w:color="auto"/>
        <w:bottom w:val="none" w:sz="0" w:space="0" w:color="auto"/>
        <w:right w:val="none" w:sz="0" w:space="0" w:color="auto"/>
      </w:divBdr>
    </w:div>
    <w:div w:id="2101172516">
      <w:bodyDiv w:val="1"/>
      <w:marLeft w:val="0"/>
      <w:marRight w:val="0"/>
      <w:marTop w:val="0"/>
      <w:marBottom w:val="0"/>
      <w:divBdr>
        <w:top w:val="none" w:sz="0" w:space="0" w:color="auto"/>
        <w:left w:val="none" w:sz="0" w:space="0" w:color="auto"/>
        <w:bottom w:val="none" w:sz="0" w:space="0" w:color="auto"/>
        <w:right w:val="none" w:sz="0" w:space="0" w:color="auto"/>
      </w:divBdr>
    </w:div>
    <w:div w:id="2106539397">
      <w:bodyDiv w:val="1"/>
      <w:marLeft w:val="0"/>
      <w:marRight w:val="0"/>
      <w:marTop w:val="0"/>
      <w:marBottom w:val="0"/>
      <w:divBdr>
        <w:top w:val="none" w:sz="0" w:space="0" w:color="auto"/>
        <w:left w:val="none" w:sz="0" w:space="0" w:color="auto"/>
        <w:bottom w:val="none" w:sz="0" w:space="0" w:color="auto"/>
        <w:right w:val="none" w:sz="0" w:space="0" w:color="auto"/>
      </w:divBdr>
    </w:div>
    <w:div w:id="2114401614">
      <w:bodyDiv w:val="1"/>
      <w:marLeft w:val="0"/>
      <w:marRight w:val="0"/>
      <w:marTop w:val="0"/>
      <w:marBottom w:val="0"/>
      <w:divBdr>
        <w:top w:val="none" w:sz="0" w:space="0" w:color="auto"/>
        <w:left w:val="none" w:sz="0" w:space="0" w:color="auto"/>
        <w:bottom w:val="none" w:sz="0" w:space="0" w:color="auto"/>
        <w:right w:val="none" w:sz="0" w:space="0" w:color="auto"/>
      </w:divBdr>
    </w:div>
    <w:div w:id="2116434808">
      <w:bodyDiv w:val="1"/>
      <w:marLeft w:val="0"/>
      <w:marRight w:val="0"/>
      <w:marTop w:val="0"/>
      <w:marBottom w:val="0"/>
      <w:divBdr>
        <w:top w:val="none" w:sz="0" w:space="0" w:color="auto"/>
        <w:left w:val="none" w:sz="0" w:space="0" w:color="auto"/>
        <w:bottom w:val="none" w:sz="0" w:space="0" w:color="auto"/>
        <w:right w:val="none" w:sz="0" w:space="0" w:color="auto"/>
      </w:divBdr>
    </w:div>
    <w:div w:id="21439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rbi.org.in/scripts/BS_ViewMasCirculardetails.aspx?id=12367" TargetMode="External"/><Relationship Id="rId21" Type="http://schemas.openxmlformats.org/officeDocument/2006/relationships/hyperlink" Target="https://www.rbi.org.in/scripts/NotificationUser.aspx?Id=12365&amp;Mode=0" TargetMode="External"/><Relationship Id="rId42" Type="http://schemas.openxmlformats.org/officeDocument/2006/relationships/hyperlink" Target="https://www.rbi.org.in/scripts/NotificationUser.aspx?Id=12381&amp;Mode=0" TargetMode="External"/><Relationship Id="rId47" Type="http://schemas.openxmlformats.org/officeDocument/2006/relationships/hyperlink" Target="https://www.rbi.org.in/Scripts/NotificationUser.aspx?Id=10233&amp;Mode=0" TargetMode="External"/><Relationship Id="rId63" Type="http://schemas.openxmlformats.org/officeDocument/2006/relationships/hyperlink" Target="https://www.rbi.org.in/Scripts/NotificationUser.aspx?Id=12395&amp;Mode=0" TargetMode="External"/><Relationship Id="rId68" Type="http://schemas.openxmlformats.org/officeDocument/2006/relationships/hyperlink" Target="https://m.rbi.org.in/Scripts/BS_CircularIndexDisplay.aspx?Id=12399" TargetMode="External"/><Relationship Id="rId84" Type="http://schemas.openxmlformats.org/officeDocument/2006/relationships/hyperlink" Target="https://m.rbi.org.in/Scripts/NotificationUser.aspx?Id=4676&amp;Mode=0" TargetMode="External"/><Relationship Id="rId89" Type="http://schemas.openxmlformats.org/officeDocument/2006/relationships/hyperlink" Target="https://m.rbi.org.in/scripts/FS_Notification.aspx?Id=12418&amp;fn=2755&amp;Mode=0" TargetMode="External"/><Relationship Id="rId16" Type="http://schemas.openxmlformats.org/officeDocument/2006/relationships/hyperlink" Target="https://rbi.org.in/scripts/FS_Notification.aspx?Id=12355&amp;fn=6&amp;Mode=0" TargetMode="External"/><Relationship Id="rId11" Type="http://schemas.openxmlformats.org/officeDocument/2006/relationships/hyperlink" Target="https://rbi.org.in/Scripts/NotificationUser.aspx?Id=12350&amp;Mode=0" TargetMode="External"/><Relationship Id="rId32" Type="http://schemas.openxmlformats.org/officeDocument/2006/relationships/hyperlink" Target="https://www.rbi.org.in/Scripts/BS_ViewMasDirections.aspx?id=12256" TargetMode="External"/><Relationship Id="rId37" Type="http://schemas.openxmlformats.org/officeDocument/2006/relationships/hyperlink" Target="https://www.rbi.org.in/scripts/NotificationUser.aspx?Id=12380&amp;Mode=0" TargetMode="External"/><Relationship Id="rId53" Type="http://schemas.openxmlformats.org/officeDocument/2006/relationships/hyperlink" Target="https://rbi.org.in/Scripts/NotificationUser.aspx?Id=12389&amp;Mode=0" TargetMode="External"/><Relationship Id="rId58" Type="http://schemas.openxmlformats.org/officeDocument/2006/relationships/hyperlink" Target="https://www.rbi.org.in/Scripts/BS_ViewMasDirections.aspx?id=10202" TargetMode="External"/><Relationship Id="rId74" Type="http://schemas.openxmlformats.org/officeDocument/2006/relationships/hyperlink" Target="https://www.rbi.org.in/scripts/FS_Notification.aspx?Id=12401&amp;fn=2&amp;Mode=0" TargetMode="External"/><Relationship Id="rId79" Type="http://schemas.openxmlformats.org/officeDocument/2006/relationships/hyperlink" Target="https://www.rbi.org.in/Scripts/NotificationUser.aspx?Id=12302&amp;Mode=0" TargetMode="External"/><Relationship Id="rId102" Type="http://schemas.openxmlformats.org/officeDocument/2006/relationships/hyperlink" Target="https://m.rbi.org.in/scripts/FS_Notification.aspx?Id=12431&amp;fn=9&amp;Mode=0" TargetMode="External"/><Relationship Id="rId5" Type="http://schemas.openxmlformats.org/officeDocument/2006/relationships/webSettings" Target="webSettings.xml"/><Relationship Id="rId90" Type="http://schemas.openxmlformats.org/officeDocument/2006/relationships/hyperlink" Target="https://rbi.org.in/Scripts/BS_PressReleaseDisplay.aspx?prid=54819" TargetMode="External"/><Relationship Id="rId95" Type="http://schemas.openxmlformats.org/officeDocument/2006/relationships/hyperlink" Target="https://m.rbi.org.in/scripts/BS_CircularIndexDisplay.aspx?Id=12425" TargetMode="External"/><Relationship Id="rId22" Type="http://schemas.openxmlformats.org/officeDocument/2006/relationships/hyperlink" Target="https://rbi.org.in/Scripts/BS_ViewMasDirections.aspx?id=11510" TargetMode="External"/><Relationship Id="rId27" Type="http://schemas.openxmlformats.org/officeDocument/2006/relationships/hyperlink" Target="https://m.rbi.org.in/scripts/BS_ViewMasCirculardetails.aspx?id=12367" TargetMode="External"/><Relationship Id="rId43" Type="http://schemas.openxmlformats.org/officeDocument/2006/relationships/hyperlink" Target="https://www.rbi.org.in/Scripts/BS_PressReleaseDisplay.aspx?prid=54187" TargetMode="External"/><Relationship Id="rId48" Type="http://schemas.openxmlformats.org/officeDocument/2006/relationships/hyperlink" Target="https://www.rbi.org.in/Scripts/NotificationUser.aspx?Id=11560&amp;Mode=0" TargetMode="External"/><Relationship Id="rId64" Type="http://schemas.openxmlformats.org/officeDocument/2006/relationships/hyperlink" Target="https://www.rbi.org.in/Scripts/BS_ViewMasCirculardetails.aspx?id=12278" TargetMode="External"/><Relationship Id="rId69" Type="http://schemas.openxmlformats.org/officeDocument/2006/relationships/hyperlink" Target="https://m.rbi.org.in/Scripts/BS_CircularIndexDisplay.aspx?Id=12399" TargetMode="External"/><Relationship Id="rId80" Type="http://schemas.openxmlformats.org/officeDocument/2006/relationships/hyperlink" Target="https://www.rbi.org.in/scripts/NotificationUser.aspx?Id=12411&amp;Mode=0" TargetMode="External"/><Relationship Id="rId85" Type="http://schemas.openxmlformats.org/officeDocument/2006/relationships/hyperlink" Target="https://m.rbi.org.in/Scripts/NotificationUser.aspx?Id=8874&amp;Mode=0" TargetMode="External"/><Relationship Id="rId12" Type="http://schemas.openxmlformats.org/officeDocument/2006/relationships/hyperlink" Target="https://www.rbi.org.in/scripts/NotificationUser.aspx?Id=12351&amp;Mode=0" TargetMode="External"/><Relationship Id="rId17" Type="http://schemas.openxmlformats.org/officeDocument/2006/relationships/hyperlink" Target="https://www.rbi.org.in/Scripts/BS_ViewMasCirculardetails.aspx?id=12288" TargetMode="External"/><Relationship Id="rId25" Type="http://schemas.openxmlformats.org/officeDocument/2006/relationships/hyperlink" Target="https://www.rbi.org.in/Scripts/NotificationUser.aspx?Id=12366&amp;Mode=0" TargetMode="External"/><Relationship Id="rId33" Type="http://schemas.openxmlformats.org/officeDocument/2006/relationships/hyperlink" Target="https://rbi.org.in/scripts/FS_Notification.aspx?Id=12378&amp;fn=2&amp;Mode=0" TargetMode="External"/><Relationship Id="rId38" Type="http://schemas.openxmlformats.org/officeDocument/2006/relationships/hyperlink" Target="https://rbidocs.rbi.org.in/rdocs/content/pdfs/GazetteRules23082022.pdf" TargetMode="External"/><Relationship Id="rId46" Type="http://schemas.openxmlformats.org/officeDocument/2006/relationships/hyperlink" Target="https://rbi.org.in/Scripts/BS_CircularIndexDisplay.aspx?Id=12382" TargetMode="External"/><Relationship Id="rId59" Type="http://schemas.openxmlformats.org/officeDocument/2006/relationships/hyperlink" Target="https://rbi.org.in/Scripts/BS_ViewMasDirections.aspx?id=11510" TargetMode="External"/><Relationship Id="rId67" Type="http://schemas.openxmlformats.org/officeDocument/2006/relationships/hyperlink" Target="https://m.rbi.org.in/Scripts/BS_PressReleaseDisplay.aspx?prid=51381" TargetMode="External"/><Relationship Id="rId103" Type="http://schemas.openxmlformats.org/officeDocument/2006/relationships/fontTable" Target="fontTable.xml"/><Relationship Id="rId20" Type="http://schemas.openxmlformats.org/officeDocument/2006/relationships/hyperlink" Target="https://www.rbi.org.in/scripts/NotificationUser.aspx?Id=12365&amp;Mode=0" TargetMode="External"/><Relationship Id="rId41" Type="http://schemas.openxmlformats.org/officeDocument/2006/relationships/hyperlink" Target="https://rbi.org.in/Scripts/NotificationUser.aspx?Id=10257&amp;Mode=0" TargetMode="External"/><Relationship Id="rId54" Type="http://schemas.openxmlformats.org/officeDocument/2006/relationships/hyperlink" Target="https://rbi.org.in/Scripts/NotificationUser.aspx?Id=12389&amp;Mode=0" TargetMode="External"/><Relationship Id="rId62" Type="http://schemas.openxmlformats.org/officeDocument/2006/relationships/hyperlink" Target="https://www.rbi.org.in/Scripts/NotificationUser.aspx?Id=12395&amp;Mode=0" TargetMode="External"/><Relationship Id="rId70" Type="http://schemas.openxmlformats.org/officeDocument/2006/relationships/hyperlink" Target="https://m.rbi.org.in/Scripts/BS_CircularIndexDisplay.aspx?Id=12399" TargetMode="External"/><Relationship Id="rId75" Type="http://schemas.openxmlformats.org/officeDocument/2006/relationships/hyperlink" Target="https://www.rbi.org.in/Scripts/BS_ViewMasDirections.aspx?id=12131" TargetMode="External"/><Relationship Id="rId83" Type="http://schemas.openxmlformats.org/officeDocument/2006/relationships/hyperlink" Target="https://www.rbi.org.in/scripts/NotificationUser.aspx?Id=12412&amp;Mode=0" TargetMode="External"/><Relationship Id="rId88" Type="http://schemas.openxmlformats.org/officeDocument/2006/relationships/hyperlink" Target="https://m.rbi.org.in/Scripts/NotificationUser.aspx?Id=12416&amp;Mode=0" TargetMode="External"/><Relationship Id="rId91" Type="http://schemas.openxmlformats.org/officeDocument/2006/relationships/hyperlink" Target="https://rbi.org.in/Scripts/BS_PressReleaseDisplay.aspx?prid=54818" TargetMode="External"/><Relationship Id="rId96" Type="http://schemas.openxmlformats.org/officeDocument/2006/relationships/hyperlink" Target="https://rbi.org.in/Scripts/BS_ViewMasDirections.aspx?id=12158" TargetMode="External"/><Relationship Id="rId1" Type="http://schemas.openxmlformats.org/officeDocument/2006/relationships/customXml" Target="../customXml/item1.xml"/><Relationship Id="rId6" Type="http://schemas.openxmlformats.org/officeDocument/2006/relationships/hyperlink" Target="https://www.rbi.org.in/Scripts/NotificationUser.aspx?Id=5671&amp;Mode=0" TargetMode="External"/><Relationship Id="rId15" Type="http://schemas.openxmlformats.org/officeDocument/2006/relationships/hyperlink" Target="https://www.rbi.org.in/Scripts/NotificationUser.aspx?Id=11303&amp;Mode=0" TargetMode="External"/><Relationship Id="rId23" Type="http://schemas.openxmlformats.org/officeDocument/2006/relationships/hyperlink" Target="https://www.rbi.org.in/Scripts/BS_PressReleaseDisplay.aspx?prid=53979" TargetMode="External"/><Relationship Id="rId28" Type="http://schemas.openxmlformats.org/officeDocument/2006/relationships/hyperlink" Target="https://www.rbi.org.in/Scripts/BS_ViewMasDirections.aspx?id=10084" TargetMode="External"/><Relationship Id="rId36" Type="http://schemas.openxmlformats.org/officeDocument/2006/relationships/hyperlink" Target="https://rbidocs.rbi.org.in/rdocs/content/pdfs/GazetteRules23082022.pdf" TargetMode="External"/><Relationship Id="rId49" Type="http://schemas.openxmlformats.org/officeDocument/2006/relationships/hyperlink" Target="https://www.rbi.org.in/scripts/NotificationUser.aspx?Id=12383&amp;Mode=0" TargetMode="External"/><Relationship Id="rId57" Type="http://schemas.openxmlformats.org/officeDocument/2006/relationships/hyperlink" Target="https://rbi.org.in/Scripts/NotificationUser.aspx?Id=12389&amp;Mode=0" TargetMode="External"/><Relationship Id="rId10" Type="http://schemas.openxmlformats.org/officeDocument/2006/relationships/hyperlink" Target="https://rbi.org.in/Scripts/BS_ViewMasDirections.aspx?id=10394" TargetMode="External"/><Relationship Id="rId31" Type="http://schemas.openxmlformats.org/officeDocument/2006/relationships/hyperlink" Target="https://rbi.org.in/scripts/FS_Notification.aspx?Id=12378&amp;fn=2&amp;Mode=0" TargetMode="External"/><Relationship Id="rId44" Type="http://schemas.openxmlformats.org/officeDocument/2006/relationships/hyperlink" Target="https://rbi.org.in/Scripts/BS_CircularIndexDisplay.aspx?Id=12382" TargetMode="External"/><Relationship Id="rId52" Type="http://schemas.openxmlformats.org/officeDocument/2006/relationships/hyperlink" Target="https://www.rbi.org.in/scripts/NotificationUser.aspx?Id=12384&amp;Mode=0" TargetMode="External"/><Relationship Id="rId60" Type="http://schemas.openxmlformats.org/officeDocument/2006/relationships/hyperlink" Target="https://www.rbi.org.in/scripts/NotificationUser.aspx?Id=12393&amp;Mode=0" TargetMode="External"/><Relationship Id="rId65" Type="http://schemas.openxmlformats.org/officeDocument/2006/relationships/hyperlink" Target="https://www.rbi.org.in/Scripts/NotificationUser.aspx?Id=12396&amp;Mode=0" TargetMode="External"/><Relationship Id="rId73" Type="http://schemas.openxmlformats.org/officeDocument/2006/relationships/hyperlink" Target="https://www.rbi.org.in/scripts/FS_Notification.aspx?Id=12401&amp;fn=2&amp;Mode=0" TargetMode="External"/><Relationship Id="rId78" Type="http://schemas.openxmlformats.org/officeDocument/2006/relationships/hyperlink" Target="https://www.rbi.org.in/Scripts/NotificationUser.aspx?Id=12408&amp;Mode=0" TargetMode="External"/><Relationship Id="rId81" Type="http://schemas.openxmlformats.org/officeDocument/2006/relationships/hyperlink" Target="https://www.rbi.org.in/Scripts/BS_ViewMasDirections.aspx?id=10598" TargetMode="External"/><Relationship Id="rId86" Type="http://schemas.openxmlformats.org/officeDocument/2006/relationships/hyperlink" Target="https://m.rbi.org.in/scripts/FS_Notification.aspx?Id=12417&amp;fn=14&amp;Mode=0" TargetMode="External"/><Relationship Id="rId94" Type="http://schemas.openxmlformats.org/officeDocument/2006/relationships/hyperlink" Target="https://m.rbi.org.in/Scripts/NotificationUser.aspx?Id=8968&amp;Mode=0" TargetMode="External"/><Relationship Id="rId99" Type="http://schemas.openxmlformats.org/officeDocument/2006/relationships/hyperlink" Target="https://m.rbi.org.in/Scripts/BS_PressReleaseDisplay.aspx?prid=47819" TargetMode="External"/><Relationship Id="rId101" Type="http://schemas.openxmlformats.org/officeDocument/2006/relationships/hyperlink" Target="https://m.rbi.org.in/scripts/FS_Notification.aspx?Id=12431&amp;fn=9&amp;Mode=0" TargetMode="External"/><Relationship Id="rId4" Type="http://schemas.openxmlformats.org/officeDocument/2006/relationships/settings" Target="settings.xml"/><Relationship Id="rId9" Type="http://schemas.openxmlformats.org/officeDocument/2006/relationships/hyperlink" Target="https://www.rbi.org.in/Scripts/BS_ViewMasDirections.aspx?id=10296" TargetMode="External"/><Relationship Id="rId13" Type="http://schemas.openxmlformats.org/officeDocument/2006/relationships/hyperlink" Target="https://www.rbi.org.in/Scripts/BS_PressReleaseDisplay.aspx?prid=53979" TargetMode="External"/><Relationship Id="rId18" Type="http://schemas.openxmlformats.org/officeDocument/2006/relationships/hyperlink" Target="https://www.rbi.org.in/scripts/NotificationUser.aspx?Id=12361&amp;Mode=0" TargetMode="External"/><Relationship Id="rId39" Type="http://schemas.openxmlformats.org/officeDocument/2006/relationships/hyperlink" Target="https://rbi.org.in/Scripts/NotificationUser.aspx?Id=12380&amp;Mode=0" TargetMode="External"/><Relationship Id="rId34" Type="http://schemas.openxmlformats.org/officeDocument/2006/relationships/hyperlink" Target="https://rbidocs.rbi.org.in/rdocs/content/pdfs/GazetteRegulations230822.pdf" TargetMode="External"/><Relationship Id="rId50" Type="http://schemas.openxmlformats.org/officeDocument/2006/relationships/hyperlink" Target="https://www.rbi.org.in/Scripts/BS_ViewMasCirculardetails.aspx?id=12278" TargetMode="External"/><Relationship Id="rId55" Type="http://schemas.openxmlformats.org/officeDocument/2006/relationships/hyperlink" Target="https://rbi.org.in/Scripts/NotificationUser.aspx?Id=12389&amp;Mode=0" TargetMode="External"/><Relationship Id="rId76" Type="http://schemas.openxmlformats.org/officeDocument/2006/relationships/hyperlink" Target="https://www.rbi.org.in/scripts/FS_Notification.aspx?Id=12403&amp;fn=2&amp;Mode=0" TargetMode="External"/><Relationship Id="rId97" Type="http://schemas.openxmlformats.org/officeDocument/2006/relationships/hyperlink" Target="https://rbi.org.in/Scripts/BS_ViewMasDirections.aspx?id=12158" TargetMode="External"/><Relationship Id="rId104" Type="http://schemas.openxmlformats.org/officeDocument/2006/relationships/theme" Target="theme/theme1.xml"/><Relationship Id="rId7" Type="http://schemas.openxmlformats.org/officeDocument/2006/relationships/hyperlink" Target="https://www.rbi.org.in/Scripts/NotificationUser.aspx?Id=12347&amp;Mode=0" TargetMode="External"/><Relationship Id="rId71" Type="http://schemas.openxmlformats.org/officeDocument/2006/relationships/hyperlink" Target="https://www.rbi.org.in/Scripts/BS_ViewMasDirections.aspx?id=12158" TargetMode="External"/><Relationship Id="rId92" Type="http://schemas.openxmlformats.org/officeDocument/2006/relationships/hyperlink" Target="https://rbi.org.in/Scripts/NotificationUser.aspx?Id=12153&amp;Mode=0" TargetMode="External"/><Relationship Id="rId2" Type="http://schemas.openxmlformats.org/officeDocument/2006/relationships/numbering" Target="numbering.xml"/><Relationship Id="rId29" Type="http://schemas.openxmlformats.org/officeDocument/2006/relationships/hyperlink" Target="https://www.rbi.org.in/scripts/NotificationUser.aspx?Id=12368&amp;Mode=0" TargetMode="External"/><Relationship Id="rId24" Type="http://schemas.openxmlformats.org/officeDocument/2006/relationships/hyperlink" Target="https://rbidocs.rbi.org.in/rdocs/content/pdfs/GN3RFEMA01082022.pdf" TargetMode="External"/><Relationship Id="rId40" Type="http://schemas.openxmlformats.org/officeDocument/2006/relationships/hyperlink" Target="https://rbi.org.in/Scripts/NotificationUser.aspx?Id=2126&amp;Mode=0" TargetMode="External"/><Relationship Id="rId45" Type="http://schemas.openxmlformats.org/officeDocument/2006/relationships/hyperlink" Target="https://rbi.org.in/Scripts/BS_CircularIndexDisplay.aspx?Id=12382" TargetMode="External"/><Relationship Id="rId66" Type="http://schemas.openxmlformats.org/officeDocument/2006/relationships/hyperlink" Target="https://m.rbi.org.in/Scripts/BS_PressReleaseDisplay.aspx?prid=51382" TargetMode="External"/><Relationship Id="rId87" Type="http://schemas.openxmlformats.org/officeDocument/2006/relationships/hyperlink" Target="https://m.rbi.org.in/Scripts/BS_PressReleaseDisplay.aspx?prid=54059" TargetMode="External"/><Relationship Id="rId61" Type="http://schemas.openxmlformats.org/officeDocument/2006/relationships/hyperlink" Target="https://rbi.org.in/Scripts/BS_PressReleaseDisplay.aspx?prid=54149" TargetMode="External"/><Relationship Id="rId82" Type="http://schemas.openxmlformats.org/officeDocument/2006/relationships/hyperlink" Target="https://www.rbi.org.in/scripts/NotificationUser.aspx?Id=12412&amp;Mode=0" TargetMode="External"/><Relationship Id="rId19" Type="http://schemas.openxmlformats.org/officeDocument/2006/relationships/hyperlink" Target="https://www.rbi.org.in/scripts/FS_Notification.aspx?Id=12377&amp;fn=5&amp;Mode=0" TargetMode="External"/><Relationship Id="rId14" Type="http://schemas.openxmlformats.org/officeDocument/2006/relationships/hyperlink" Target="https://www.rbi.org.in/Scripts/NotificationUser.aspx?Id=12099&amp;Mode=0" TargetMode="External"/><Relationship Id="rId30" Type="http://schemas.openxmlformats.org/officeDocument/2006/relationships/hyperlink" Target="https://rbi.org.in/scripts/FS_Notification.aspx?Id=12378&amp;fn=2&amp;Mode=0" TargetMode="External"/><Relationship Id="rId35" Type="http://schemas.openxmlformats.org/officeDocument/2006/relationships/hyperlink" Target="https://rbidocs.rbi.org.in/rdocs/content/pdfs/GazetteRules23082022.pdf" TargetMode="External"/><Relationship Id="rId56" Type="http://schemas.openxmlformats.org/officeDocument/2006/relationships/hyperlink" Target="https://rbi.org.in/Scripts/NotificationUser.aspx?Id=12389&amp;Mode=0" TargetMode="External"/><Relationship Id="rId77" Type="http://schemas.openxmlformats.org/officeDocument/2006/relationships/hyperlink" Target="https://www.rbi.org.in/Scripts/BS_ViewMasCirculardetails.aspx?id=12274" TargetMode="External"/><Relationship Id="rId100" Type="http://schemas.openxmlformats.org/officeDocument/2006/relationships/hyperlink" Target="https://prism.rbi.org.in/DAKSH/portal/" TargetMode="External"/><Relationship Id="rId8" Type="http://schemas.openxmlformats.org/officeDocument/2006/relationships/hyperlink" Target="https://www.rbi.org.in/Scripts/NotificationUser.aspx?Id=12347&amp;Mode=0" TargetMode="External"/><Relationship Id="rId51" Type="http://schemas.openxmlformats.org/officeDocument/2006/relationships/hyperlink" Target="https://www.rbi.org.in/Scripts/BS_ViewMasCirculardetails.aspx?id=12278" TargetMode="External"/><Relationship Id="rId72" Type="http://schemas.openxmlformats.org/officeDocument/2006/relationships/hyperlink" Target="https://www.rbi.org.in/scripts/FS_Notification.aspx?Id=12401&amp;fn=2&amp;Mode=0" TargetMode="External"/><Relationship Id="rId93" Type="http://schemas.openxmlformats.org/officeDocument/2006/relationships/hyperlink" Target="https://www.rbi.org.in/scripts/FS_Notification.aspx?Id=12422&amp;fn=2&amp;Mode=0" TargetMode="External"/><Relationship Id="rId98" Type="http://schemas.openxmlformats.org/officeDocument/2006/relationships/hyperlink" Target="https://rbi.org.in/Scripts/NotificationUser.aspx?Id=12426&amp;Mode=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22476-2370-4540-995E-19677F21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11085</Words>
  <Characters>63191</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soumya P</cp:lastModifiedBy>
  <cp:revision>3</cp:revision>
  <dcterms:created xsi:type="dcterms:W3CDTF">2023-03-01T05:19:00Z</dcterms:created>
  <dcterms:modified xsi:type="dcterms:W3CDTF">2023-03-01T05:22:00Z</dcterms:modified>
</cp:coreProperties>
</file>